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4.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63BCE21" w14:textId="77777777" w:rsidR="008D642A" w:rsidRDefault="000D1AB6" w:rsidP="000D1AB6">
      <w:pPr>
        <w:jc w:val="center"/>
      </w:pPr>
      <w:r>
        <w:rPr>
          <w:noProof/>
          <w:lang w:eastAsia="es-CL"/>
        </w:rPr>
        <w:drawing>
          <wp:inline distT="0" distB="0" distL="0" distR="0" wp14:anchorId="3C055874" wp14:editId="341F3DB9">
            <wp:extent cx="801626" cy="1085090"/>
            <wp:effectExtent l="0" t="0" r="0" b="1270"/>
            <wp:docPr id="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C_nuevo-negro1.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801626" cy="1085090"/>
                    </a:xfrm>
                    <a:prstGeom prst="rect">
                      <a:avLst/>
                    </a:prstGeom>
                  </pic:spPr>
                </pic:pic>
              </a:graphicData>
            </a:graphic>
          </wp:inline>
        </w:drawing>
      </w:r>
    </w:p>
    <w:p w14:paraId="0F5F8CA0" w14:textId="77777777" w:rsidR="000D1AB6" w:rsidRDefault="007478BF" w:rsidP="00C67B42">
      <w:pPr>
        <w:spacing w:before="240" w:after="0" w:line="240" w:lineRule="auto"/>
        <w:jc w:val="center"/>
        <w:rPr>
          <w:rFonts w:ascii="Times New Roman" w:hAnsi="Times New Roman" w:cs="Times New Roman"/>
          <w:sz w:val="32"/>
          <w:szCs w:val="32"/>
        </w:rPr>
      </w:pPr>
      <w:r>
        <w:rPr>
          <w:rFonts w:ascii="Times New Roman" w:hAnsi="Times New Roman" w:cs="Times New Roman"/>
          <w:sz w:val="32"/>
          <w:szCs w:val="32"/>
        </w:rPr>
        <w:t>Pontificia Universidad Católica de Chile</w:t>
      </w:r>
    </w:p>
    <w:p w14:paraId="5FA29849" w14:textId="77777777" w:rsidR="007478BF" w:rsidRDefault="007478BF" w:rsidP="00C67B42">
      <w:pPr>
        <w:spacing w:before="240" w:after="0" w:line="240" w:lineRule="auto"/>
        <w:jc w:val="center"/>
        <w:rPr>
          <w:rFonts w:ascii="Times New Roman" w:hAnsi="Times New Roman" w:cs="Times New Roman"/>
          <w:sz w:val="28"/>
          <w:szCs w:val="28"/>
        </w:rPr>
      </w:pPr>
      <w:r>
        <w:rPr>
          <w:rFonts w:ascii="Times New Roman" w:hAnsi="Times New Roman" w:cs="Times New Roman"/>
          <w:sz w:val="28"/>
          <w:szCs w:val="28"/>
        </w:rPr>
        <w:t>Facultad de Ciencias Sociales</w:t>
      </w:r>
    </w:p>
    <w:p w14:paraId="7BB91144" w14:textId="77777777" w:rsidR="007478BF" w:rsidRDefault="007478BF" w:rsidP="00C67B42">
      <w:pPr>
        <w:spacing w:before="240" w:after="0" w:line="240" w:lineRule="auto"/>
        <w:jc w:val="center"/>
        <w:rPr>
          <w:rFonts w:ascii="Times New Roman" w:hAnsi="Times New Roman" w:cs="Times New Roman"/>
          <w:sz w:val="28"/>
          <w:szCs w:val="28"/>
        </w:rPr>
      </w:pPr>
      <w:r>
        <w:rPr>
          <w:rFonts w:ascii="Times New Roman" w:hAnsi="Times New Roman" w:cs="Times New Roman"/>
          <w:sz w:val="28"/>
          <w:szCs w:val="28"/>
        </w:rPr>
        <w:t>Escuela de Psicología</w:t>
      </w:r>
    </w:p>
    <w:p w14:paraId="05D85B5D" w14:textId="77777777" w:rsidR="007478BF" w:rsidRDefault="007478BF" w:rsidP="00C67B42">
      <w:pPr>
        <w:spacing w:before="240" w:after="0" w:line="240" w:lineRule="auto"/>
        <w:jc w:val="center"/>
        <w:rPr>
          <w:rFonts w:ascii="Times New Roman" w:hAnsi="Times New Roman" w:cs="Times New Roman"/>
          <w:sz w:val="28"/>
          <w:szCs w:val="28"/>
        </w:rPr>
      </w:pPr>
      <w:r>
        <w:rPr>
          <w:rFonts w:ascii="Times New Roman" w:hAnsi="Times New Roman" w:cs="Times New Roman"/>
          <w:sz w:val="28"/>
          <w:szCs w:val="28"/>
        </w:rPr>
        <w:t>Programa de Doctorado en Psicología</w:t>
      </w:r>
    </w:p>
    <w:p w14:paraId="5835A36D" w14:textId="77777777" w:rsidR="007478BF" w:rsidRDefault="007478BF" w:rsidP="007478BF">
      <w:pPr>
        <w:spacing w:after="0" w:line="240" w:lineRule="auto"/>
        <w:jc w:val="center"/>
        <w:rPr>
          <w:rFonts w:ascii="Times New Roman" w:hAnsi="Times New Roman" w:cs="Times New Roman"/>
          <w:sz w:val="28"/>
          <w:szCs w:val="28"/>
        </w:rPr>
      </w:pPr>
    </w:p>
    <w:p w14:paraId="1CCB5F9F" w14:textId="77777777" w:rsidR="007478BF" w:rsidRDefault="007478BF" w:rsidP="007478BF">
      <w:pPr>
        <w:spacing w:after="0" w:line="240" w:lineRule="auto"/>
        <w:jc w:val="center"/>
        <w:rPr>
          <w:rFonts w:ascii="Times New Roman" w:hAnsi="Times New Roman" w:cs="Times New Roman"/>
          <w:sz w:val="28"/>
          <w:szCs w:val="28"/>
        </w:rPr>
      </w:pPr>
    </w:p>
    <w:p w14:paraId="41201421" w14:textId="77777777" w:rsidR="007478BF" w:rsidRDefault="007478BF" w:rsidP="007478BF">
      <w:pPr>
        <w:spacing w:after="0" w:line="240" w:lineRule="auto"/>
        <w:jc w:val="center"/>
        <w:rPr>
          <w:rFonts w:ascii="Times New Roman" w:hAnsi="Times New Roman" w:cs="Times New Roman"/>
          <w:sz w:val="28"/>
          <w:szCs w:val="28"/>
        </w:rPr>
      </w:pPr>
    </w:p>
    <w:p w14:paraId="06B106C4" w14:textId="77777777" w:rsidR="007478BF" w:rsidRDefault="007478BF" w:rsidP="007478BF">
      <w:pPr>
        <w:spacing w:after="0" w:line="240" w:lineRule="auto"/>
        <w:jc w:val="center"/>
        <w:rPr>
          <w:rFonts w:ascii="Times New Roman" w:hAnsi="Times New Roman" w:cs="Times New Roman"/>
          <w:sz w:val="28"/>
          <w:szCs w:val="28"/>
        </w:rPr>
      </w:pPr>
    </w:p>
    <w:p w14:paraId="505D3956" w14:textId="77777777" w:rsidR="007478BF" w:rsidRDefault="00C67B42" w:rsidP="00C67B42">
      <w:pPr>
        <w:spacing w:line="240" w:lineRule="auto"/>
        <w:jc w:val="center"/>
        <w:rPr>
          <w:rFonts w:ascii="Arial" w:hAnsi="Arial" w:cs="Arial"/>
          <w:sz w:val="28"/>
          <w:szCs w:val="28"/>
        </w:rPr>
      </w:pPr>
      <w:r>
        <w:rPr>
          <w:rFonts w:ascii="Arial" w:hAnsi="Arial" w:cs="Arial"/>
          <w:sz w:val="28"/>
          <w:szCs w:val="28"/>
        </w:rPr>
        <w:t>TESIS DOCTORAL:</w:t>
      </w:r>
    </w:p>
    <w:p w14:paraId="236D718F" w14:textId="2FF6E8CF" w:rsidR="00C67B42" w:rsidRDefault="003350DD" w:rsidP="007478BF">
      <w:pPr>
        <w:spacing w:after="0" w:line="240" w:lineRule="auto"/>
        <w:jc w:val="center"/>
        <w:rPr>
          <w:rFonts w:ascii="Arial" w:hAnsi="Arial" w:cs="Arial"/>
          <w:sz w:val="28"/>
          <w:szCs w:val="28"/>
        </w:rPr>
      </w:pPr>
      <w:bookmarkStart w:id="0" w:name="OLE_LINK2"/>
      <w:bookmarkStart w:id="1" w:name="OLE_LINK3"/>
      <w:bookmarkStart w:id="2" w:name="OLE_LINK4"/>
      <w:r>
        <w:rPr>
          <w:rFonts w:ascii="Arial" w:hAnsi="Arial" w:cs="Arial"/>
          <w:sz w:val="28"/>
          <w:szCs w:val="28"/>
        </w:rPr>
        <w:t>CARACTERIZACIÓN DE VARIABLES SOCIODEMOGRÁFICAS, CLÍNICAS Y DE RESULTADO DE TERAPIA EN MUESTRAS DE CENTROS COMUNITARIOS DE SALUD MENTAL (COSAMS)Y CENTROS UNIVERSITARIOS</w:t>
      </w:r>
      <w:r w:rsidR="00491C9C">
        <w:rPr>
          <w:rFonts w:ascii="Arial" w:hAnsi="Arial" w:cs="Arial"/>
          <w:sz w:val="28"/>
          <w:szCs w:val="28"/>
        </w:rPr>
        <w:t xml:space="preserve"> </w:t>
      </w:r>
    </w:p>
    <w:bookmarkEnd w:id="0"/>
    <w:bookmarkEnd w:id="1"/>
    <w:bookmarkEnd w:id="2"/>
    <w:p w14:paraId="38AA4235" w14:textId="77777777" w:rsidR="00C67B42" w:rsidRDefault="00C67B42" w:rsidP="007478BF">
      <w:pPr>
        <w:spacing w:after="0" w:line="240" w:lineRule="auto"/>
        <w:jc w:val="center"/>
        <w:rPr>
          <w:rFonts w:ascii="Arial" w:hAnsi="Arial" w:cs="Arial"/>
          <w:sz w:val="28"/>
          <w:szCs w:val="28"/>
        </w:rPr>
      </w:pPr>
    </w:p>
    <w:p w14:paraId="76BABB20" w14:textId="77777777" w:rsidR="00C67B42" w:rsidRDefault="00C67B42" w:rsidP="007478BF">
      <w:pPr>
        <w:spacing w:after="0" w:line="240" w:lineRule="auto"/>
        <w:jc w:val="center"/>
        <w:rPr>
          <w:rFonts w:ascii="Arial" w:hAnsi="Arial" w:cs="Arial"/>
          <w:sz w:val="28"/>
          <w:szCs w:val="28"/>
        </w:rPr>
      </w:pPr>
    </w:p>
    <w:p w14:paraId="74A9AC97" w14:textId="77777777" w:rsidR="00C67B42" w:rsidRDefault="00C67B42" w:rsidP="007478BF">
      <w:pPr>
        <w:spacing w:after="0" w:line="240" w:lineRule="auto"/>
        <w:jc w:val="center"/>
        <w:rPr>
          <w:rFonts w:ascii="Arial" w:hAnsi="Arial" w:cs="Arial"/>
          <w:sz w:val="28"/>
          <w:szCs w:val="28"/>
        </w:rPr>
      </w:pPr>
    </w:p>
    <w:p w14:paraId="2C4F0156" w14:textId="77777777" w:rsidR="00C67B42" w:rsidRDefault="00C67B42" w:rsidP="007478BF">
      <w:pPr>
        <w:spacing w:after="0" w:line="240" w:lineRule="auto"/>
        <w:jc w:val="center"/>
        <w:rPr>
          <w:rFonts w:ascii="Arial" w:hAnsi="Arial" w:cs="Arial"/>
          <w:sz w:val="28"/>
          <w:szCs w:val="28"/>
        </w:rPr>
      </w:pPr>
    </w:p>
    <w:p w14:paraId="6DF30A0B" w14:textId="77777777" w:rsidR="00C67B42" w:rsidRDefault="00C67B42" w:rsidP="007478BF">
      <w:pPr>
        <w:spacing w:after="0" w:line="240" w:lineRule="auto"/>
        <w:jc w:val="center"/>
        <w:rPr>
          <w:rFonts w:ascii="Arial" w:hAnsi="Arial" w:cs="Arial"/>
          <w:sz w:val="28"/>
          <w:szCs w:val="28"/>
        </w:rPr>
      </w:pPr>
    </w:p>
    <w:p w14:paraId="1FD544FB" w14:textId="77777777" w:rsidR="00C67B42" w:rsidRDefault="00C67B42" w:rsidP="007478BF">
      <w:pPr>
        <w:spacing w:after="0" w:line="240" w:lineRule="auto"/>
        <w:jc w:val="center"/>
        <w:rPr>
          <w:rFonts w:ascii="Arial" w:hAnsi="Arial" w:cs="Arial"/>
          <w:sz w:val="28"/>
          <w:szCs w:val="28"/>
        </w:rPr>
      </w:pPr>
    </w:p>
    <w:p w14:paraId="53C403C2" w14:textId="77777777" w:rsidR="00C67B42" w:rsidRDefault="00C67B42" w:rsidP="007478BF">
      <w:pPr>
        <w:spacing w:after="0" w:line="240" w:lineRule="auto"/>
        <w:jc w:val="center"/>
        <w:rPr>
          <w:rFonts w:ascii="Arial" w:hAnsi="Arial" w:cs="Arial"/>
          <w:sz w:val="28"/>
          <w:szCs w:val="28"/>
        </w:rPr>
      </w:pPr>
    </w:p>
    <w:p w14:paraId="21D11A9F" w14:textId="77777777" w:rsidR="00C67B42" w:rsidRPr="00C67B42" w:rsidRDefault="00C67B42" w:rsidP="007478BF">
      <w:pPr>
        <w:spacing w:after="0" w:line="240" w:lineRule="auto"/>
        <w:jc w:val="center"/>
        <w:rPr>
          <w:rFonts w:ascii="Arial" w:hAnsi="Arial" w:cs="Arial"/>
          <w:sz w:val="24"/>
          <w:szCs w:val="24"/>
        </w:rPr>
      </w:pPr>
      <w:r w:rsidRPr="00C67B42">
        <w:rPr>
          <w:rFonts w:ascii="Arial" w:hAnsi="Arial" w:cs="Arial"/>
          <w:sz w:val="24"/>
          <w:szCs w:val="24"/>
        </w:rPr>
        <w:t xml:space="preserve">Por </w:t>
      </w:r>
    </w:p>
    <w:p w14:paraId="385C9878" w14:textId="537769FF" w:rsidR="00C67B42" w:rsidRDefault="00C67B42" w:rsidP="00C154DC">
      <w:pPr>
        <w:spacing w:after="0" w:line="240" w:lineRule="auto"/>
        <w:jc w:val="center"/>
        <w:rPr>
          <w:rFonts w:ascii="Arial" w:hAnsi="Arial" w:cs="Arial"/>
          <w:sz w:val="24"/>
          <w:szCs w:val="24"/>
        </w:rPr>
      </w:pPr>
      <w:r w:rsidRPr="00C67B42">
        <w:rPr>
          <w:rFonts w:ascii="Arial" w:hAnsi="Arial" w:cs="Arial"/>
          <w:sz w:val="24"/>
          <w:szCs w:val="24"/>
        </w:rPr>
        <w:t>CAMILA VALDÉS FUICA</w:t>
      </w:r>
    </w:p>
    <w:p w14:paraId="5352033E" w14:textId="77777777" w:rsidR="00C67B42" w:rsidRDefault="00C67B42" w:rsidP="007478BF">
      <w:pPr>
        <w:spacing w:after="0" w:line="240" w:lineRule="auto"/>
        <w:jc w:val="center"/>
        <w:rPr>
          <w:rFonts w:ascii="Arial" w:hAnsi="Arial" w:cs="Arial"/>
          <w:sz w:val="24"/>
          <w:szCs w:val="24"/>
        </w:rPr>
      </w:pPr>
    </w:p>
    <w:p w14:paraId="0C533E96" w14:textId="77777777" w:rsidR="00C67B42" w:rsidRDefault="00C67B42" w:rsidP="007478BF">
      <w:pPr>
        <w:spacing w:after="0" w:line="240" w:lineRule="auto"/>
        <w:jc w:val="center"/>
        <w:rPr>
          <w:rFonts w:ascii="Arial" w:hAnsi="Arial" w:cs="Arial"/>
          <w:sz w:val="24"/>
          <w:szCs w:val="24"/>
        </w:rPr>
      </w:pPr>
    </w:p>
    <w:p w14:paraId="7094CAE5" w14:textId="77777777" w:rsidR="00C67B42" w:rsidRDefault="00C67B42" w:rsidP="007478BF">
      <w:pPr>
        <w:spacing w:after="0" w:line="240" w:lineRule="auto"/>
        <w:jc w:val="center"/>
        <w:rPr>
          <w:rFonts w:ascii="Arial" w:hAnsi="Arial" w:cs="Arial"/>
          <w:sz w:val="24"/>
          <w:szCs w:val="24"/>
        </w:rPr>
      </w:pPr>
    </w:p>
    <w:p w14:paraId="17389B32" w14:textId="77777777" w:rsidR="00C67B42" w:rsidRDefault="00C67B42" w:rsidP="007478BF">
      <w:pPr>
        <w:spacing w:after="0" w:line="240" w:lineRule="auto"/>
        <w:jc w:val="center"/>
        <w:rPr>
          <w:rFonts w:ascii="Arial" w:hAnsi="Arial" w:cs="Arial"/>
          <w:sz w:val="24"/>
          <w:szCs w:val="24"/>
        </w:rPr>
      </w:pPr>
    </w:p>
    <w:p w14:paraId="71A68522" w14:textId="77777777" w:rsidR="00C67B42" w:rsidRDefault="00C67B42" w:rsidP="007478BF">
      <w:pPr>
        <w:spacing w:after="0" w:line="240" w:lineRule="auto"/>
        <w:jc w:val="center"/>
        <w:rPr>
          <w:rFonts w:ascii="Arial" w:hAnsi="Arial" w:cs="Arial"/>
          <w:sz w:val="24"/>
          <w:szCs w:val="24"/>
        </w:rPr>
      </w:pPr>
    </w:p>
    <w:p w14:paraId="1C4E5D7E" w14:textId="77777777" w:rsidR="00C67B42" w:rsidRDefault="00C67B42" w:rsidP="007478BF">
      <w:pPr>
        <w:spacing w:after="0" w:line="240" w:lineRule="auto"/>
        <w:jc w:val="center"/>
        <w:rPr>
          <w:rFonts w:ascii="Arial" w:hAnsi="Arial" w:cs="Arial"/>
          <w:sz w:val="24"/>
          <w:szCs w:val="24"/>
        </w:rPr>
      </w:pPr>
    </w:p>
    <w:p w14:paraId="0565733C" w14:textId="77777777" w:rsidR="00C67B42" w:rsidRDefault="00C67B42" w:rsidP="00C67B42">
      <w:pPr>
        <w:spacing w:after="0" w:line="240" w:lineRule="auto"/>
        <w:rPr>
          <w:rFonts w:ascii="Arial" w:hAnsi="Arial" w:cs="Arial"/>
          <w:sz w:val="24"/>
          <w:szCs w:val="24"/>
        </w:rPr>
      </w:pPr>
    </w:p>
    <w:p w14:paraId="20026AB6" w14:textId="77777777" w:rsidR="00491C9C" w:rsidRDefault="00491C9C" w:rsidP="007478BF">
      <w:pPr>
        <w:spacing w:after="0" w:line="240" w:lineRule="auto"/>
        <w:jc w:val="center"/>
        <w:rPr>
          <w:rFonts w:ascii="Arial" w:hAnsi="Arial" w:cs="Arial"/>
          <w:sz w:val="24"/>
          <w:szCs w:val="24"/>
        </w:rPr>
      </w:pPr>
    </w:p>
    <w:p w14:paraId="17C49E83" w14:textId="77777777" w:rsidR="00491C9C" w:rsidRDefault="00491C9C" w:rsidP="007478BF">
      <w:pPr>
        <w:spacing w:after="0" w:line="240" w:lineRule="auto"/>
        <w:jc w:val="center"/>
        <w:rPr>
          <w:rFonts w:ascii="Arial" w:hAnsi="Arial" w:cs="Arial"/>
          <w:sz w:val="24"/>
          <w:szCs w:val="24"/>
        </w:rPr>
      </w:pPr>
    </w:p>
    <w:p w14:paraId="6D01CB9F" w14:textId="77777777" w:rsidR="00C67B42" w:rsidRDefault="00491C9C" w:rsidP="007478BF">
      <w:pPr>
        <w:spacing w:after="0" w:line="240" w:lineRule="auto"/>
        <w:jc w:val="center"/>
        <w:rPr>
          <w:rFonts w:ascii="Arial" w:hAnsi="Arial" w:cs="Arial"/>
          <w:sz w:val="24"/>
          <w:szCs w:val="24"/>
        </w:rPr>
      </w:pPr>
      <w:r>
        <w:rPr>
          <w:rFonts w:ascii="Arial" w:hAnsi="Arial" w:cs="Arial"/>
          <w:sz w:val="24"/>
          <w:szCs w:val="24"/>
        </w:rPr>
        <w:t>Abril 2018</w:t>
      </w:r>
    </w:p>
    <w:p w14:paraId="78ED9043" w14:textId="77777777" w:rsidR="009B11EB" w:rsidRDefault="009B11EB" w:rsidP="007478BF">
      <w:pPr>
        <w:spacing w:after="0" w:line="240" w:lineRule="auto"/>
        <w:jc w:val="center"/>
        <w:rPr>
          <w:rFonts w:ascii="Arial" w:hAnsi="Arial" w:cs="Arial"/>
          <w:sz w:val="24"/>
          <w:szCs w:val="24"/>
        </w:rPr>
      </w:pPr>
    </w:p>
    <w:p w14:paraId="4CC46422" w14:textId="77777777" w:rsidR="009B11EB" w:rsidRDefault="009B11EB" w:rsidP="009B11EB">
      <w:pPr>
        <w:jc w:val="center"/>
      </w:pPr>
      <w:r>
        <w:rPr>
          <w:noProof/>
          <w:lang w:eastAsia="es-CL"/>
        </w:rPr>
        <w:lastRenderedPageBreak/>
        <w:drawing>
          <wp:inline distT="0" distB="0" distL="0" distR="0" wp14:anchorId="2D8FA50B" wp14:editId="7ABB71BB">
            <wp:extent cx="801626" cy="1085090"/>
            <wp:effectExtent l="0" t="0" r="0" b="1270"/>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C_nuevo-negro1.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801626" cy="1085090"/>
                    </a:xfrm>
                    <a:prstGeom prst="rect">
                      <a:avLst/>
                    </a:prstGeom>
                  </pic:spPr>
                </pic:pic>
              </a:graphicData>
            </a:graphic>
          </wp:inline>
        </w:drawing>
      </w:r>
    </w:p>
    <w:p w14:paraId="254247B1" w14:textId="77777777" w:rsidR="009B11EB" w:rsidRDefault="009B11EB" w:rsidP="009B11EB">
      <w:pPr>
        <w:spacing w:before="240" w:after="0" w:line="240" w:lineRule="auto"/>
        <w:jc w:val="center"/>
        <w:rPr>
          <w:rFonts w:ascii="Times New Roman" w:hAnsi="Times New Roman" w:cs="Times New Roman"/>
          <w:sz w:val="32"/>
          <w:szCs w:val="32"/>
        </w:rPr>
      </w:pPr>
      <w:r>
        <w:rPr>
          <w:rFonts w:ascii="Times New Roman" w:hAnsi="Times New Roman" w:cs="Times New Roman"/>
          <w:sz w:val="32"/>
          <w:szCs w:val="32"/>
        </w:rPr>
        <w:t>Pontificia Universidad Católica de Chile</w:t>
      </w:r>
    </w:p>
    <w:p w14:paraId="7AC514E2" w14:textId="77777777" w:rsidR="009B11EB" w:rsidRDefault="009B11EB" w:rsidP="009B11EB">
      <w:pPr>
        <w:spacing w:before="240" w:after="0" w:line="240" w:lineRule="auto"/>
        <w:jc w:val="center"/>
        <w:rPr>
          <w:rFonts w:ascii="Times New Roman" w:hAnsi="Times New Roman" w:cs="Times New Roman"/>
          <w:sz w:val="28"/>
          <w:szCs w:val="28"/>
        </w:rPr>
      </w:pPr>
      <w:r>
        <w:rPr>
          <w:rFonts w:ascii="Times New Roman" w:hAnsi="Times New Roman" w:cs="Times New Roman"/>
          <w:sz w:val="28"/>
          <w:szCs w:val="28"/>
        </w:rPr>
        <w:t>Facultad de Ciencias Sociales</w:t>
      </w:r>
    </w:p>
    <w:p w14:paraId="75BF1C28" w14:textId="77777777" w:rsidR="009B11EB" w:rsidRDefault="009B11EB" w:rsidP="009B11EB">
      <w:pPr>
        <w:spacing w:before="240" w:after="0" w:line="240" w:lineRule="auto"/>
        <w:jc w:val="center"/>
        <w:rPr>
          <w:rFonts w:ascii="Times New Roman" w:hAnsi="Times New Roman" w:cs="Times New Roman"/>
          <w:sz w:val="28"/>
          <w:szCs w:val="28"/>
        </w:rPr>
      </w:pPr>
      <w:r>
        <w:rPr>
          <w:rFonts w:ascii="Times New Roman" w:hAnsi="Times New Roman" w:cs="Times New Roman"/>
          <w:sz w:val="28"/>
          <w:szCs w:val="28"/>
        </w:rPr>
        <w:t>Escuela de Psicología</w:t>
      </w:r>
    </w:p>
    <w:p w14:paraId="3FA826B0" w14:textId="77777777" w:rsidR="009B11EB" w:rsidRDefault="009B11EB" w:rsidP="009B11EB">
      <w:pPr>
        <w:spacing w:before="240" w:after="0" w:line="240" w:lineRule="auto"/>
        <w:jc w:val="center"/>
        <w:rPr>
          <w:rFonts w:ascii="Times New Roman" w:hAnsi="Times New Roman" w:cs="Times New Roman"/>
          <w:sz w:val="28"/>
          <w:szCs w:val="28"/>
        </w:rPr>
      </w:pPr>
      <w:r>
        <w:rPr>
          <w:rFonts w:ascii="Times New Roman" w:hAnsi="Times New Roman" w:cs="Times New Roman"/>
          <w:sz w:val="28"/>
          <w:szCs w:val="28"/>
        </w:rPr>
        <w:t>Programa de Doctorado en Psicología</w:t>
      </w:r>
    </w:p>
    <w:p w14:paraId="30E10707" w14:textId="77777777" w:rsidR="009B11EB" w:rsidRDefault="009B11EB" w:rsidP="009B11EB">
      <w:pPr>
        <w:spacing w:after="0" w:line="240" w:lineRule="auto"/>
        <w:jc w:val="center"/>
        <w:rPr>
          <w:rFonts w:ascii="Times New Roman" w:hAnsi="Times New Roman" w:cs="Times New Roman"/>
          <w:sz w:val="28"/>
          <w:szCs w:val="28"/>
        </w:rPr>
      </w:pPr>
    </w:p>
    <w:p w14:paraId="43D77042" w14:textId="77777777" w:rsidR="009B11EB" w:rsidRDefault="009B11EB" w:rsidP="009B11EB">
      <w:pPr>
        <w:spacing w:after="0" w:line="240" w:lineRule="auto"/>
        <w:jc w:val="center"/>
        <w:rPr>
          <w:rFonts w:ascii="Times New Roman" w:hAnsi="Times New Roman" w:cs="Times New Roman"/>
          <w:sz w:val="28"/>
          <w:szCs w:val="28"/>
        </w:rPr>
      </w:pPr>
    </w:p>
    <w:p w14:paraId="3AFA7037" w14:textId="77777777" w:rsidR="009B11EB" w:rsidRDefault="009B11EB" w:rsidP="009B11EB">
      <w:pPr>
        <w:spacing w:after="0" w:line="240" w:lineRule="auto"/>
        <w:jc w:val="center"/>
        <w:rPr>
          <w:rFonts w:ascii="Times New Roman" w:hAnsi="Times New Roman" w:cs="Times New Roman"/>
          <w:sz w:val="28"/>
          <w:szCs w:val="28"/>
        </w:rPr>
      </w:pPr>
    </w:p>
    <w:p w14:paraId="34AFB876" w14:textId="77777777" w:rsidR="009B11EB" w:rsidRDefault="009B11EB" w:rsidP="009B11EB">
      <w:pPr>
        <w:spacing w:line="240" w:lineRule="auto"/>
        <w:rPr>
          <w:rFonts w:ascii="Arial" w:hAnsi="Arial" w:cs="Arial"/>
          <w:sz w:val="28"/>
          <w:szCs w:val="28"/>
        </w:rPr>
      </w:pPr>
    </w:p>
    <w:p w14:paraId="2753077B" w14:textId="77777777" w:rsidR="003350DD" w:rsidRDefault="003350DD" w:rsidP="003350DD">
      <w:pPr>
        <w:spacing w:after="0" w:line="240" w:lineRule="auto"/>
        <w:jc w:val="center"/>
        <w:rPr>
          <w:rFonts w:ascii="Arial" w:hAnsi="Arial" w:cs="Arial"/>
          <w:sz w:val="28"/>
          <w:szCs w:val="28"/>
        </w:rPr>
      </w:pPr>
      <w:r>
        <w:rPr>
          <w:rFonts w:ascii="Arial" w:hAnsi="Arial" w:cs="Arial"/>
          <w:sz w:val="28"/>
          <w:szCs w:val="28"/>
        </w:rPr>
        <w:t xml:space="preserve">CARACTERIZACIÓN DE VARIABLES SOCIODEMOGRÁFICAS, CLÍNICAS Y DE RESULTADO DE TERAPIA EN MUESTRAS DE CENTROS COMUNITARIOS DE SALUD MENTAL (COSAMS)Y CENTROS UNIVERSITARIOS </w:t>
      </w:r>
    </w:p>
    <w:p w14:paraId="5BA9AF2B" w14:textId="77777777" w:rsidR="009B11EB" w:rsidRDefault="009B11EB" w:rsidP="009B11EB">
      <w:pPr>
        <w:spacing w:after="0" w:line="240" w:lineRule="auto"/>
        <w:jc w:val="center"/>
        <w:rPr>
          <w:rFonts w:ascii="Arial" w:hAnsi="Arial" w:cs="Arial"/>
          <w:sz w:val="28"/>
          <w:szCs w:val="28"/>
        </w:rPr>
      </w:pPr>
    </w:p>
    <w:p w14:paraId="17B1F923" w14:textId="77777777" w:rsidR="009B11EB" w:rsidRDefault="009B11EB" w:rsidP="009B11EB">
      <w:pPr>
        <w:spacing w:after="0" w:line="240" w:lineRule="auto"/>
        <w:jc w:val="center"/>
        <w:rPr>
          <w:rFonts w:ascii="Arial" w:hAnsi="Arial" w:cs="Arial"/>
          <w:sz w:val="28"/>
          <w:szCs w:val="28"/>
        </w:rPr>
      </w:pPr>
    </w:p>
    <w:p w14:paraId="21AF7880" w14:textId="77777777" w:rsidR="009B11EB" w:rsidRDefault="009B11EB" w:rsidP="009B11EB">
      <w:pPr>
        <w:spacing w:after="0" w:line="240" w:lineRule="auto"/>
        <w:jc w:val="center"/>
        <w:rPr>
          <w:rFonts w:ascii="Arial" w:hAnsi="Arial" w:cs="Arial"/>
          <w:sz w:val="28"/>
          <w:szCs w:val="28"/>
        </w:rPr>
      </w:pPr>
    </w:p>
    <w:p w14:paraId="63AE9699" w14:textId="77777777" w:rsidR="009B11EB" w:rsidRDefault="009B11EB" w:rsidP="009B11EB">
      <w:pPr>
        <w:spacing w:after="0" w:line="240" w:lineRule="auto"/>
        <w:rPr>
          <w:rFonts w:ascii="Arial" w:hAnsi="Arial" w:cs="Arial"/>
          <w:sz w:val="28"/>
          <w:szCs w:val="28"/>
        </w:rPr>
      </w:pPr>
      <w:r>
        <w:rPr>
          <w:rFonts w:ascii="Arial" w:hAnsi="Arial" w:cs="Arial"/>
          <w:sz w:val="28"/>
          <w:szCs w:val="28"/>
        </w:rPr>
        <w:t>Tesis presentada a la Pontificia Universidad Católica de Chile como parte de los requisitos para optar por el grado a Doctor en Psicología</w:t>
      </w:r>
    </w:p>
    <w:p w14:paraId="3BD44C17" w14:textId="77777777" w:rsidR="009B11EB" w:rsidRDefault="009B11EB" w:rsidP="009B11EB">
      <w:pPr>
        <w:spacing w:after="0" w:line="240" w:lineRule="auto"/>
        <w:jc w:val="center"/>
        <w:rPr>
          <w:rFonts w:ascii="Arial" w:hAnsi="Arial" w:cs="Arial"/>
          <w:sz w:val="28"/>
          <w:szCs w:val="28"/>
        </w:rPr>
      </w:pPr>
    </w:p>
    <w:p w14:paraId="5A77E665" w14:textId="77777777" w:rsidR="009B11EB" w:rsidRDefault="009B11EB" w:rsidP="009B11EB">
      <w:pPr>
        <w:spacing w:after="0" w:line="240" w:lineRule="auto"/>
        <w:jc w:val="center"/>
        <w:rPr>
          <w:rFonts w:ascii="Arial" w:hAnsi="Arial" w:cs="Arial"/>
          <w:sz w:val="28"/>
          <w:szCs w:val="28"/>
        </w:rPr>
      </w:pPr>
    </w:p>
    <w:p w14:paraId="44CE9AF1" w14:textId="77777777" w:rsidR="009B11EB" w:rsidRPr="00C67B42" w:rsidRDefault="009B11EB" w:rsidP="009B11EB">
      <w:pPr>
        <w:spacing w:after="0" w:line="240" w:lineRule="auto"/>
        <w:jc w:val="center"/>
        <w:rPr>
          <w:rFonts w:ascii="Arial" w:hAnsi="Arial" w:cs="Arial"/>
          <w:sz w:val="24"/>
          <w:szCs w:val="24"/>
        </w:rPr>
      </w:pPr>
      <w:r w:rsidRPr="00C67B42">
        <w:rPr>
          <w:rFonts w:ascii="Arial" w:hAnsi="Arial" w:cs="Arial"/>
          <w:sz w:val="24"/>
          <w:szCs w:val="24"/>
        </w:rPr>
        <w:t xml:space="preserve">Por </w:t>
      </w:r>
    </w:p>
    <w:p w14:paraId="451AD8C1" w14:textId="77777777" w:rsidR="009B11EB" w:rsidRDefault="009B11EB" w:rsidP="009B11EB">
      <w:pPr>
        <w:spacing w:after="0" w:line="240" w:lineRule="auto"/>
        <w:jc w:val="center"/>
        <w:rPr>
          <w:rFonts w:ascii="Arial" w:hAnsi="Arial" w:cs="Arial"/>
          <w:sz w:val="24"/>
          <w:szCs w:val="24"/>
        </w:rPr>
      </w:pPr>
      <w:r w:rsidRPr="00C67B42">
        <w:rPr>
          <w:rFonts w:ascii="Arial" w:hAnsi="Arial" w:cs="Arial"/>
          <w:sz w:val="24"/>
          <w:szCs w:val="24"/>
        </w:rPr>
        <w:t>CAMILA VALDÉS FUICA</w:t>
      </w:r>
    </w:p>
    <w:p w14:paraId="31FA4FB6" w14:textId="77777777" w:rsidR="009B11EB" w:rsidRDefault="009B11EB" w:rsidP="009B11EB">
      <w:pPr>
        <w:spacing w:after="0" w:line="240" w:lineRule="auto"/>
        <w:jc w:val="center"/>
        <w:rPr>
          <w:rFonts w:ascii="Arial" w:hAnsi="Arial" w:cs="Arial"/>
          <w:sz w:val="24"/>
          <w:szCs w:val="24"/>
        </w:rPr>
      </w:pPr>
    </w:p>
    <w:p w14:paraId="6AD0CCA9" w14:textId="668D6B1E" w:rsidR="009B11EB" w:rsidRDefault="009B11EB" w:rsidP="009B11EB">
      <w:pPr>
        <w:spacing w:after="0" w:line="240" w:lineRule="auto"/>
        <w:rPr>
          <w:rFonts w:ascii="Arial" w:hAnsi="Arial" w:cs="Arial"/>
          <w:sz w:val="24"/>
          <w:szCs w:val="24"/>
        </w:rPr>
      </w:pPr>
      <w:r>
        <w:rPr>
          <w:rFonts w:ascii="Arial" w:hAnsi="Arial" w:cs="Arial"/>
          <w:sz w:val="24"/>
          <w:szCs w:val="24"/>
        </w:rPr>
        <w:t>Director de Tesis:</w:t>
      </w:r>
      <w:r>
        <w:rPr>
          <w:rFonts w:ascii="Arial" w:hAnsi="Arial" w:cs="Arial"/>
          <w:sz w:val="24"/>
          <w:szCs w:val="24"/>
        </w:rPr>
        <w:tab/>
      </w:r>
      <w:r>
        <w:rPr>
          <w:rFonts w:ascii="Arial" w:hAnsi="Arial" w:cs="Arial"/>
          <w:sz w:val="24"/>
          <w:szCs w:val="24"/>
        </w:rPr>
        <w:tab/>
      </w:r>
      <w:r w:rsidR="00954E8D">
        <w:rPr>
          <w:rFonts w:ascii="Arial" w:hAnsi="Arial" w:cs="Arial"/>
          <w:sz w:val="24"/>
          <w:szCs w:val="24"/>
        </w:rPr>
        <w:t xml:space="preserve">Dr. </w:t>
      </w:r>
      <w:r>
        <w:rPr>
          <w:rFonts w:ascii="Arial" w:hAnsi="Arial" w:cs="Arial"/>
          <w:sz w:val="24"/>
          <w:szCs w:val="24"/>
        </w:rPr>
        <w:t>Eugenio Rodríguez</w:t>
      </w:r>
      <w:r w:rsidR="00954E8D">
        <w:rPr>
          <w:rFonts w:ascii="Arial" w:hAnsi="Arial" w:cs="Arial"/>
          <w:sz w:val="24"/>
          <w:szCs w:val="24"/>
        </w:rPr>
        <w:t xml:space="preserve"> Balboa</w:t>
      </w:r>
    </w:p>
    <w:p w14:paraId="67485D89" w14:textId="77777777" w:rsidR="009B11EB" w:rsidRDefault="009B11EB" w:rsidP="009B11EB">
      <w:pPr>
        <w:spacing w:after="0" w:line="240" w:lineRule="auto"/>
        <w:rPr>
          <w:rFonts w:ascii="Arial" w:hAnsi="Arial" w:cs="Arial"/>
          <w:sz w:val="24"/>
          <w:szCs w:val="24"/>
        </w:rPr>
      </w:pPr>
    </w:p>
    <w:p w14:paraId="5E395192" w14:textId="5A534C57" w:rsidR="009B11EB" w:rsidRDefault="009B11EB" w:rsidP="009B11EB">
      <w:pPr>
        <w:spacing w:after="0" w:line="240" w:lineRule="auto"/>
        <w:rPr>
          <w:rFonts w:ascii="Arial" w:hAnsi="Arial" w:cs="Arial"/>
          <w:sz w:val="24"/>
          <w:szCs w:val="24"/>
        </w:rPr>
      </w:pPr>
      <w:r>
        <w:rPr>
          <w:rFonts w:ascii="Arial" w:hAnsi="Arial" w:cs="Arial"/>
          <w:sz w:val="24"/>
          <w:szCs w:val="24"/>
        </w:rPr>
        <w:t>Comisión de Tesis:</w:t>
      </w:r>
      <w:r>
        <w:rPr>
          <w:rFonts w:ascii="Arial" w:hAnsi="Arial" w:cs="Arial"/>
          <w:sz w:val="24"/>
          <w:szCs w:val="24"/>
        </w:rPr>
        <w:tab/>
      </w:r>
      <w:r>
        <w:rPr>
          <w:rFonts w:ascii="Arial" w:hAnsi="Arial" w:cs="Arial"/>
          <w:sz w:val="24"/>
          <w:szCs w:val="24"/>
        </w:rPr>
        <w:tab/>
      </w:r>
      <w:r w:rsidR="00954E8D">
        <w:rPr>
          <w:rFonts w:ascii="Arial" w:hAnsi="Arial" w:cs="Arial"/>
          <w:sz w:val="24"/>
          <w:szCs w:val="24"/>
        </w:rPr>
        <w:t xml:space="preserve">Dr. </w:t>
      </w:r>
      <w:r>
        <w:rPr>
          <w:rFonts w:ascii="Arial" w:hAnsi="Arial" w:cs="Arial"/>
          <w:sz w:val="24"/>
          <w:szCs w:val="24"/>
        </w:rPr>
        <w:t>Jaime Silva</w:t>
      </w:r>
      <w:r w:rsidR="00B21477">
        <w:rPr>
          <w:rFonts w:ascii="Arial" w:hAnsi="Arial" w:cs="Arial"/>
          <w:sz w:val="24"/>
          <w:szCs w:val="24"/>
        </w:rPr>
        <w:t xml:space="preserve"> Concha</w:t>
      </w:r>
      <w:r w:rsidR="00954E8D">
        <w:rPr>
          <w:rFonts w:ascii="Arial" w:hAnsi="Arial" w:cs="Arial"/>
          <w:sz w:val="24"/>
          <w:szCs w:val="24"/>
        </w:rPr>
        <w:t xml:space="preserve"> </w:t>
      </w:r>
    </w:p>
    <w:p w14:paraId="57FB3118" w14:textId="6CD54C43" w:rsidR="009B11EB" w:rsidRDefault="009B11EB" w:rsidP="009B11EB">
      <w:pPr>
        <w:spacing w:after="0" w:line="240" w:lineRule="auto"/>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00954E8D">
        <w:rPr>
          <w:rFonts w:ascii="Arial" w:hAnsi="Arial" w:cs="Arial"/>
          <w:sz w:val="24"/>
          <w:szCs w:val="24"/>
        </w:rPr>
        <w:t xml:space="preserve">Dr. </w:t>
      </w:r>
      <w:r>
        <w:rPr>
          <w:rFonts w:ascii="Arial" w:hAnsi="Arial" w:cs="Arial"/>
          <w:sz w:val="24"/>
          <w:szCs w:val="24"/>
        </w:rPr>
        <w:t>Guillermo de la Parra</w:t>
      </w:r>
      <w:r w:rsidR="00954E8D">
        <w:rPr>
          <w:rFonts w:ascii="Arial" w:hAnsi="Arial" w:cs="Arial"/>
          <w:sz w:val="24"/>
          <w:szCs w:val="24"/>
        </w:rPr>
        <w:t xml:space="preserve"> </w:t>
      </w:r>
      <w:proofErr w:type="spellStart"/>
      <w:r w:rsidR="00954E8D">
        <w:rPr>
          <w:rFonts w:ascii="Arial" w:hAnsi="Arial" w:cs="Arial"/>
          <w:sz w:val="24"/>
          <w:szCs w:val="24"/>
        </w:rPr>
        <w:t>Cieciwa</w:t>
      </w:r>
      <w:proofErr w:type="spellEnd"/>
    </w:p>
    <w:p w14:paraId="3552DEDA" w14:textId="2E50D73A" w:rsidR="009B11EB" w:rsidRDefault="009B11EB" w:rsidP="009B11EB">
      <w:pPr>
        <w:spacing w:after="0" w:line="240" w:lineRule="auto"/>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00954E8D">
        <w:rPr>
          <w:rFonts w:ascii="Arial" w:hAnsi="Arial" w:cs="Arial"/>
          <w:sz w:val="24"/>
          <w:szCs w:val="24"/>
        </w:rPr>
        <w:t xml:space="preserve">Dra. </w:t>
      </w:r>
      <w:r>
        <w:rPr>
          <w:rFonts w:ascii="Arial" w:hAnsi="Arial" w:cs="Arial"/>
          <w:sz w:val="24"/>
          <w:szCs w:val="24"/>
        </w:rPr>
        <w:t>Graciela Rojas</w:t>
      </w:r>
      <w:r w:rsidR="00954E8D">
        <w:rPr>
          <w:rFonts w:ascii="Arial" w:hAnsi="Arial" w:cs="Arial"/>
          <w:sz w:val="24"/>
          <w:szCs w:val="24"/>
        </w:rPr>
        <w:t xml:space="preserve"> Castillo</w:t>
      </w:r>
    </w:p>
    <w:p w14:paraId="473C21AB" w14:textId="272A424A" w:rsidR="00491C9C" w:rsidRDefault="00491C9C" w:rsidP="009B11EB">
      <w:pPr>
        <w:spacing w:after="0" w:line="240" w:lineRule="auto"/>
        <w:rPr>
          <w:rFonts w:ascii="Arial" w:hAnsi="Arial" w:cs="Arial"/>
          <w:sz w:val="24"/>
          <w:szCs w:val="24"/>
        </w:rPr>
      </w:pPr>
    </w:p>
    <w:p w14:paraId="134F29A9" w14:textId="77777777" w:rsidR="00C154DC" w:rsidRDefault="00C154DC" w:rsidP="009B11EB">
      <w:pPr>
        <w:spacing w:after="0" w:line="240" w:lineRule="auto"/>
        <w:rPr>
          <w:rFonts w:ascii="Arial" w:hAnsi="Arial" w:cs="Arial"/>
          <w:sz w:val="24"/>
          <w:szCs w:val="24"/>
        </w:rPr>
      </w:pPr>
    </w:p>
    <w:p w14:paraId="68E47A1B" w14:textId="77777777" w:rsidR="009B11EB" w:rsidRDefault="009B11EB" w:rsidP="009B11EB">
      <w:pPr>
        <w:spacing w:after="0" w:line="240" w:lineRule="auto"/>
        <w:jc w:val="center"/>
        <w:rPr>
          <w:rFonts w:ascii="Arial" w:hAnsi="Arial" w:cs="Arial"/>
          <w:sz w:val="24"/>
          <w:szCs w:val="24"/>
        </w:rPr>
      </w:pPr>
    </w:p>
    <w:p w14:paraId="202D479C" w14:textId="77777777" w:rsidR="009B11EB" w:rsidRPr="00C67B42" w:rsidRDefault="00491C9C" w:rsidP="009B11EB">
      <w:pPr>
        <w:spacing w:after="0" w:line="240" w:lineRule="auto"/>
        <w:jc w:val="center"/>
        <w:rPr>
          <w:rFonts w:ascii="Arial" w:hAnsi="Arial" w:cs="Arial"/>
          <w:sz w:val="24"/>
          <w:szCs w:val="24"/>
        </w:rPr>
      </w:pPr>
      <w:r>
        <w:rPr>
          <w:rFonts w:ascii="Arial" w:hAnsi="Arial" w:cs="Arial"/>
          <w:sz w:val="24"/>
          <w:szCs w:val="24"/>
        </w:rPr>
        <w:t>Abril 2018</w:t>
      </w:r>
    </w:p>
    <w:p w14:paraId="0420F16F" w14:textId="77777777" w:rsidR="009B11EB" w:rsidRDefault="009B11EB" w:rsidP="007478BF">
      <w:pPr>
        <w:spacing w:after="0" w:line="240" w:lineRule="auto"/>
        <w:jc w:val="center"/>
        <w:rPr>
          <w:rFonts w:ascii="Arial" w:hAnsi="Arial" w:cs="Arial"/>
          <w:sz w:val="24"/>
          <w:szCs w:val="24"/>
        </w:rPr>
      </w:pPr>
    </w:p>
    <w:p w14:paraId="7EDAE6EB" w14:textId="1D7603AB" w:rsidR="009B11EB" w:rsidRPr="001E4D08" w:rsidRDefault="00491C9C" w:rsidP="007478BF">
      <w:pPr>
        <w:spacing w:after="0" w:line="240" w:lineRule="auto"/>
        <w:jc w:val="center"/>
        <w:rPr>
          <w:rFonts w:ascii="Arial" w:hAnsi="Arial" w:cs="Arial"/>
          <w:i/>
          <w:sz w:val="24"/>
          <w:szCs w:val="24"/>
        </w:rPr>
      </w:pPr>
      <w:r w:rsidRPr="001E4D08">
        <w:rPr>
          <w:rFonts w:ascii="Arial" w:hAnsi="Arial" w:cs="Arial"/>
          <w:i/>
          <w:sz w:val="24"/>
          <w:szCs w:val="24"/>
        </w:rPr>
        <w:lastRenderedPageBreak/>
        <w:t xml:space="preserve">A quienes </w:t>
      </w:r>
      <w:r w:rsidR="001E4D08" w:rsidRPr="001E4D08">
        <w:rPr>
          <w:rFonts w:ascii="Arial" w:hAnsi="Arial" w:cs="Arial"/>
          <w:i/>
          <w:sz w:val="24"/>
          <w:szCs w:val="24"/>
        </w:rPr>
        <w:t xml:space="preserve">pelean día a día </w:t>
      </w:r>
      <w:r w:rsidR="00C154DC">
        <w:rPr>
          <w:rFonts w:ascii="Arial" w:hAnsi="Arial" w:cs="Arial"/>
          <w:i/>
          <w:sz w:val="24"/>
          <w:szCs w:val="24"/>
        </w:rPr>
        <w:t>contra sus propios pensamientos</w:t>
      </w:r>
      <w:r w:rsidR="001E4D08" w:rsidRPr="001E4D08">
        <w:rPr>
          <w:rFonts w:ascii="Arial" w:hAnsi="Arial" w:cs="Arial"/>
          <w:i/>
          <w:sz w:val="24"/>
          <w:szCs w:val="24"/>
        </w:rPr>
        <w:t>, a los que ya ganaron la batalla y a los que se cansaron de pelear. A uno en especial, que motivó este gran viaje.</w:t>
      </w:r>
    </w:p>
    <w:p w14:paraId="2ED9BD08" w14:textId="77777777" w:rsidR="00491C9C" w:rsidRDefault="009B11EB">
      <w:pPr>
        <w:rPr>
          <w:rFonts w:ascii="Arial" w:hAnsi="Arial" w:cs="Arial"/>
          <w:sz w:val="24"/>
          <w:szCs w:val="24"/>
        </w:rPr>
      </w:pPr>
      <w:r>
        <w:rPr>
          <w:rFonts w:ascii="Arial" w:hAnsi="Arial" w:cs="Arial"/>
          <w:sz w:val="24"/>
          <w:szCs w:val="24"/>
        </w:rPr>
        <w:br w:type="page"/>
      </w:r>
    </w:p>
    <w:p w14:paraId="7235B8E4" w14:textId="5A432DBE" w:rsidR="009B11EB" w:rsidRDefault="009B11EB" w:rsidP="007478BF">
      <w:pPr>
        <w:spacing w:after="0" w:line="240" w:lineRule="auto"/>
        <w:jc w:val="center"/>
        <w:rPr>
          <w:rFonts w:ascii="Arial" w:hAnsi="Arial" w:cs="Arial"/>
          <w:sz w:val="24"/>
          <w:szCs w:val="24"/>
        </w:rPr>
      </w:pPr>
      <w:r>
        <w:rPr>
          <w:rFonts w:ascii="Arial" w:hAnsi="Arial" w:cs="Arial"/>
          <w:sz w:val="24"/>
          <w:szCs w:val="24"/>
        </w:rPr>
        <w:lastRenderedPageBreak/>
        <w:t>AGRADECIMIENTOS</w:t>
      </w:r>
    </w:p>
    <w:p w14:paraId="5E3EA977" w14:textId="2C021EA4" w:rsidR="00C154DC" w:rsidRDefault="00C154DC" w:rsidP="007478BF">
      <w:pPr>
        <w:spacing w:after="0" w:line="240" w:lineRule="auto"/>
        <w:jc w:val="center"/>
        <w:rPr>
          <w:rFonts w:ascii="Arial" w:hAnsi="Arial" w:cs="Arial"/>
          <w:sz w:val="24"/>
          <w:szCs w:val="24"/>
        </w:rPr>
      </w:pPr>
    </w:p>
    <w:p w14:paraId="685E40FC" w14:textId="02EFE15C" w:rsidR="006E14DA" w:rsidRDefault="006E14DA" w:rsidP="007478BF">
      <w:pPr>
        <w:spacing w:after="0" w:line="240" w:lineRule="auto"/>
        <w:jc w:val="center"/>
        <w:rPr>
          <w:rFonts w:ascii="Arial" w:hAnsi="Arial" w:cs="Arial"/>
          <w:sz w:val="24"/>
          <w:szCs w:val="24"/>
        </w:rPr>
      </w:pPr>
    </w:p>
    <w:p w14:paraId="4700B408" w14:textId="3EFF6F07" w:rsidR="006E14DA" w:rsidRDefault="006E14DA" w:rsidP="006E14DA">
      <w:pPr>
        <w:spacing w:after="0" w:line="240" w:lineRule="auto"/>
        <w:jc w:val="both"/>
        <w:rPr>
          <w:rFonts w:ascii="Arial" w:hAnsi="Arial" w:cs="Arial"/>
          <w:sz w:val="24"/>
          <w:szCs w:val="24"/>
        </w:rPr>
      </w:pPr>
      <w:r>
        <w:rPr>
          <w:rFonts w:ascii="Arial" w:hAnsi="Arial" w:cs="Arial"/>
          <w:sz w:val="24"/>
          <w:szCs w:val="24"/>
        </w:rPr>
        <w:tab/>
        <w:t>En primero lugar, me gustaría agradecer a todos los involucrados en el Instituto Milenio para el Estudio de la Depresión y Personalidad (MIDAP), institución que me albergó y dio un espacio para el crecimiento tanto profesional, como personal. En esta línea, me gustaría agradecer</w:t>
      </w:r>
      <w:r w:rsidR="00147346">
        <w:rPr>
          <w:rFonts w:ascii="Arial" w:hAnsi="Arial" w:cs="Arial"/>
          <w:sz w:val="24"/>
          <w:szCs w:val="24"/>
        </w:rPr>
        <w:t xml:space="preserve"> </w:t>
      </w:r>
      <w:r>
        <w:rPr>
          <w:rFonts w:ascii="Arial" w:hAnsi="Arial" w:cs="Arial"/>
          <w:sz w:val="24"/>
          <w:szCs w:val="24"/>
        </w:rPr>
        <w:t xml:space="preserve">a </w:t>
      </w:r>
      <w:r w:rsidRPr="00780A6F">
        <w:rPr>
          <w:rFonts w:ascii="Arial" w:hAnsi="Arial" w:cs="Arial"/>
          <w:b/>
          <w:sz w:val="24"/>
          <w:szCs w:val="24"/>
        </w:rPr>
        <w:t>Mariane Krause</w:t>
      </w:r>
      <w:r>
        <w:rPr>
          <w:rFonts w:ascii="Arial" w:hAnsi="Arial" w:cs="Arial"/>
          <w:sz w:val="24"/>
          <w:szCs w:val="24"/>
        </w:rPr>
        <w:t xml:space="preserve">, por creer que mi incorporación sería un aporte al, entonces, Núcleo Milenio y darme la oportunidad de aprender de un grupo de personas que no solo son grandes investigadores, sino también, grandes personas. </w:t>
      </w:r>
    </w:p>
    <w:p w14:paraId="3E63104E" w14:textId="1DC54940" w:rsidR="006E14DA" w:rsidRDefault="006E14DA" w:rsidP="006E14DA">
      <w:pPr>
        <w:spacing w:after="0" w:line="240" w:lineRule="auto"/>
        <w:jc w:val="both"/>
        <w:rPr>
          <w:rFonts w:ascii="Arial" w:hAnsi="Arial" w:cs="Arial"/>
          <w:sz w:val="24"/>
          <w:szCs w:val="24"/>
        </w:rPr>
      </w:pPr>
      <w:r>
        <w:rPr>
          <w:rFonts w:ascii="Arial" w:hAnsi="Arial" w:cs="Arial"/>
          <w:sz w:val="24"/>
          <w:szCs w:val="24"/>
        </w:rPr>
        <w:tab/>
        <w:t xml:space="preserve">En este mismo ámbito, me gustaría agradecer especialmente a </w:t>
      </w:r>
      <w:r w:rsidRPr="00780A6F">
        <w:rPr>
          <w:rFonts w:ascii="Arial" w:hAnsi="Arial" w:cs="Arial"/>
          <w:b/>
          <w:sz w:val="24"/>
          <w:szCs w:val="24"/>
        </w:rPr>
        <w:t>Carola Pérez</w:t>
      </w:r>
      <w:r>
        <w:rPr>
          <w:rFonts w:ascii="Arial" w:hAnsi="Arial" w:cs="Arial"/>
          <w:sz w:val="24"/>
          <w:szCs w:val="24"/>
        </w:rPr>
        <w:t xml:space="preserve">, por su eterna generosidad al momento de compartir conocimiento y ayudarme a llevar mis capacidades al máximo. Su conocimiento y ética de trabajo no solo me parecen admirables, sino que me inspiran a seguir creciendo día a día. </w:t>
      </w:r>
    </w:p>
    <w:p w14:paraId="3497E5E8" w14:textId="76755D0B" w:rsidR="00147346" w:rsidRDefault="00147346" w:rsidP="006E14DA">
      <w:pPr>
        <w:spacing w:after="0" w:line="240" w:lineRule="auto"/>
        <w:jc w:val="both"/>
        <w:rPr>
          <w:rFonts w:ascii="Arial" w:hAnsi="Arial" w:cs="Arial"/>
          <w:sz w:val="24"/>
          <w:szCs w:val="24"/>
        </w:rPr>
      </w:pPr>
      <w:r>
        <w:rPr>
          <w:rFonts w:ascii="Arial" w:hAnsi="Arial" w:cs="Arial"/>
          <w:sz w:val="24"/>
          <w:szCs w:val="24"/>
        </w:rPr>
        <w:tab/>
        <w:t xml:space="preserve">A </w:t>
      </w:r>
      <w:r w:rsidRPr="00780A6F">
        <w:rPr>
          <w:rFonts w:ascii="Arial" w:hAnsi="Arial" w:cs="Arial"/>
          <w:b/>
          <w:sz w:val="24"/>
          <w:szCs w:val="24"/>
        </w:rPr>
        <w:t xml:space="preserve">Carla </w:t>
      </w:r>
      <w:proofErr w:type="spellStart"/>
      <w:r w:rsidRPr="00780A6F">
        <w:rPr>
          <w:rFonts w:ascii="Arial" w:hAnsi="Arial" w:cs="Arial"/>
          <w:b/>
          <w:sz w:val="24"/>
          <w:szCs w:val="24"/>
        </w:rPr>
        <w:t>Crempien</w:t>
      </w:r>
      <w:proofErr w:type="spellEnd"/>
      <w:r>
        <w:rPr>
          <w:rFonts w:ascii="Arial" w:hAnsi="Arial" w:cs="Arial"/>
          <w:sz w:val="24"/>
          <w:szCs w:val="24"/>
        </w:rPr>
        <w:t xml:space="preserve"> y </w:t>
      </w:r>
      <w:r w:rsidRPr="00780A6F">
        <w:rPr>
          <w:rFonts w:ascii="Arial" w:hAnsi="Arial" w:cs="Arial"/>
          <w:b/>
          <w:sz w:val="24"/>
          <w:szCs w:val="24"/>
        </w:rPr>
        <w:t>Paula Dagnino</w:t>
      </w:r>
      <w:r>
        <w:rPr>
          <w:rFonts w:ascii="Arial" w:hAnsi="Arial" w:cs="Arial"/>
          <w:sz w:val="24"/>
          <w:szCs w:val="24"/>
        </w:rPr>
        <w:t>, sin quienes esta tesis no podría haberse llevado a cabo</w:t>
      </w:r>
      <w:r w:rsidR="00780A6F">
        <w:rPr>
          <w:rFonts w:ascii="Arial" w:hAnsi="Arial" w:cs="Arial"/>
          <w:sz w:val="24"/>
          <w:szCs w:val="24"/>
        </w:rPr>
        <w:t>, me gustaría dejarles un gran abrazo</w:t>
      </w:r>
      <w:r>
        <w:rPr>
          <w:rFonts w:ascii="Arial" w:hAnsi="Arial" w:cs="Arial"/>
          <w:sz w:val="24"/>
          <w:szCs w:val="24"/>
        </w:rPr>
        <w:t xml:space="preserve">. Gracias a ambas por darme un espacio en sus equipos de investigación, por ayudarme cuando fue necesario y siempre apoyarme a tomar las mejores decisiones durante este camino. Extiendo este agradecimiento a todos los integrantes del equipo de Unidad de Psicoterapia Adulto (UPA) del Centro de Salud Mental, quienes me enseñaron muchísimo sobre </w:t>
      </w:r>
      <w:r w:rsidR="00780A6F">
        <w:rPr>
          <w:rFonts w:ascii="Arial" w:hAnsi="Arial" w:cs="Arial"/>
          <w:sz w:val="24"/>
          <w:szCs w:val="24"/>
        </w:rPr>
        <w:t xml:space="preserve">la importancia de mirar la investigación desde la mirada clínica y acogieron dentro de un equipo de investigación que muchas veces sin grandes recursos disponibles, logró sacar adelante grandes empresas. </w:t>
      </w:r>
    </w:p>
    <w:p w14:paraId="5468A8AA" w14:textId="3968625A" w:rsidR="00780A6F" w:rsidRDefault="00780A6F" w:rsidP="006E14DA">
      <w:pPr>
        <w:spacing w:after="0" w:line="240" w:lineRule="auto"/>
        <w:jc w:val="both"/>
        <w:rPr>
          <w:rFonts w:ascii="Arial" w:hAnsi="Arial" w:cs="Arial"/>
          <w:sz w:val="24"/>
          <w:szCs w:val="24"/>
        </w:rPr>
      </w:pPr>
      <w:r>
        <w:rPr>
          <w:rFonts w:ascii="Arial" w:hAnsi="Arial" w:cs="Arial"/>
          <w:sz w:val="24"/>
          <w:szCs w:val="24"/>
        </w:rPr>
        <w:tab/>
        <w:t xml:space="preserve">No puedo no agradecer a </w:t>
      </w:r>
      <w:r w:rsidRPr="00780A6F">
        <w:rPr>
          <w:rFonts w:ascii="Arial" w:hAnsi="Arial" w:cs="Arial"/>
          <w:b/>
          <w:sz w:val="24"/>
          <w:szCs w:val="24"/>
        </w:rPr>
        <w:t>Elisa Barrientos</w:t>
      </w:r>
      <w:r>
        <w:rPr>
          <w:rFonts w:ascii="Arial" w:hAnsi="Arial" w:cs="Arial"/>
          <w:sz w:val="24"/>
          <w:szCs w:val="24"/>
        </w:rPr>
        <w:t xml:space="preserve">, quién no solo me hizo parte de diversos proyectos de divulgación y me enseñó sobre la importancia de hacer llegar la investigación más allá de los </w:t>
      </w:r>
      <w:proofErr w:type="spellStart"/>
      <w:r>
        <w:rPr>
          <w:rFonts w:ascii="Arial" w:hAnsi="Arial" w:cs="Arial"/>
          <w:sz w:val="24"/>
          <w:szCs w:val="24"/>
        </w:rPr>
        <w:t>papers</w:t>
      </w:r>
      <w:proofErr w:type="spellEnd"/>
      <w:r>
        <w:rPr>
          <w:rFonts w:ascii="Arial" w:hAnsi="Arial" w:cs="Arial"/>
          <w:sz w:val="24"/>
          <w:szCs w:val="24"/>
        </w:rPr>
        <w:t xml:space="preserve">, sino que también se convirtió en una amiga e hizo llevaderos estos últimos años de eternas estadías en la oficina. </w:t>
      </w:r>
    </w:p>
    <w:p w14:paraId="7491E717" w14:textId="0521E53D" w:rsidR="00780A6F" w:rsidRDefault="00780A6F" w:rsidP="006E14DA">
      <w:pPr>
        <w:spacing w:after="0" w:line="240" w:lineRule="auto"/>
        <w:jc w:val="both"/>
        <w:rPr>
          <w:rFonts w:ascii="Arial" w:hAnsi="Arial" w:cs="Arial"/>
          <w:sz w:val="24"/>
          <w:szCs w:val="24"/>
        </w:rPr>
      </w:pPr>
      <w:r>
        <w:rPr>
          <w:rFonts w:ascii="Arial" w:hAnsi="Arial" w:cs="Arial"/>
          <w:sz w:val="24"/>
          <w:szCs w:val="24"/>
        </w:rPr>
        <w:tab/>
        <w:t xml:space="preserve">Por otro lado, quisiera dar las gracias a </w:t>
      </w:r>
      <w:r w:rsidRPr="00CD6EF6">
        <w:rPr>
          <w:rFonts w:ascii="Arial" w:hAnsi="Arial" w:cs="Arial"/>
          <w:b/>
          <w:sz w:val="24"/>
          <w:szCs w:val="24"/>
        </w:rPr>
        <w:t xml:space="preserve">Patricio </w:t>
      </w:r>
      <w:proofErr w:type="spellStart"/>
      <w:r w:rsidRPr="00CD6EF6">
        <w:rPr>
          <w:rFonts w:ascii="Arial" w:hAnsi="Arial" w:cs="Arial"/>
          <w:b/>
          <w:sz w:val="24"/>
          <w:szCs w:val="24"/>
        </w:rPr>
        <w:t>Cumsille</w:t>
      </w:r>
      <w:proofErr w:type="spellEnd"/>
      <w:r>
        <w:rPr>
          <w:rFonts w:ascii="Arial" w:hAnsi="Arial" w:cs="Arial"/>
          <w:sz w:val="24"/>
          <w:szCs w:val="24"/>
        </w:rPr>
        <w:t xml:space="preserve">, quien, sin tener una relación directa con esta tesis, </w:t>
      </w:r>
      <w:r w:rsidR="002C7C46">
        <w:rPr>
          <w:rFonts w:ascii="Arial" w:hAnsi="Arial" w:cs="Arial"/>
          <w:sz w:val="24"/>
          <w:szCs w:val="24"/>
        </w:rPr>
        <w:t>aportó de manera inesperada para mí a mi desarrollo profesional, ayudándome a llegar donde hoy me encuentro.</w:t>
      </w:r>
    </w:p>
    <w:p w14:paraId="0064062B" w14:textId="4438441C" w:rsidR="002C7C46" w:rsidRDefault="002C7C46" w:rsidP="006E14DA">
      <w:pPr>
        <w:spacing w:after="0" w:line="240" w:lineRule="auto"/>
        <w:jc w:val="both"/>
        <w:rPr>
          <w:rFonts w:ascii="Arial" w:hAnsi="Arial" w:cs="Arial"/>
          <w:sz w:val="24"/>
          <w:szCs w:val="24"/>
        </w:rPr>
      </w:pPr>
      <w:r>
        <w:rPr>
          <w:rFonts w:ascii="Arial" w:hAnsi="Arial" w:cs="Arial"/>
          <w:sz w:val="24"/>
          <w:szCs w:val="24"/>
        </w:rPr>
        <w:tab/>
        <w:t xml:space="preserve">Un agradecimiento especial a todos aquellos que compartieron conmigo en esta etapa un cigarro, un café o simplemente un momento, para ayudar a distender los momentos de más estrés. Un gran abrazo para </w:t>
      </w:r>
      <w:r w:rsidRPr="005F046F">
        <w:rPr>
          <w:rFonts w:ascii="Arial" w:hAnsi="Arial" w:cs="Arial"/>
          <w:b/>
          <w:sz w:val="24"/>
          <w:szCs w:val="24"/>
        </w:rPr>
        <w:t>Olga Cuadros</w:t>
      </w:r>
      <w:r>
        <w:rPr>
          <w:rFonts w:ascii="Arial" w:hAnsi="Arial" w:cs="Arial"/>
          <w:sz w:val="24"/>
          <w:szCs w:val="24"/>
        </w:rPr>
        <w:t xml:space="preserve">, por aguantar mis constantes refunfuños, a </w:t>
      </w:r>
      <w:proofErr w:type="spellStart"/>
      <w:r w:rsidRPr="005F046F">
        <w:rPr>
          <w:rFonts w:ascii="Arial" w:hAnsi="Arial" w:cs="Arial"/>
          <w:b/>
          <w:sz w:val="24"/>
          <w:szCs w:val="24"/>
        </w:rPr>
        <w:t>Elyna</w:t>
      </w:r>
      <w:proofErr w:type="spellEnd"/>
      <w:r w:rsidRPr="005F046F">
        <w:rPr>
          <w:rFonts w:ascii="Arial" w:hAnsi="Arial" w:cs="Arial"/>
          <w:b/>
          <w:sz w:val="24"/>
          <w:szCs w:val="24"/>
        </w:rPr>
        <w:t xml:space="preserve"> </w:t>
      </w:r>
      <w:proofErr w:type="spellStart"/>
      <w:r w:rsidRPr="005F046F">
        <w:rPr>
          <w:rFonts w:ascii="Arial" w:hAnsi="Arial" w:cs="Arial"/>
          <w:b/>
          <w:sz w:val="24"/>
          <w:szCs w:val="24"/>
        </w:rPr>
        <w:t>Gomez-Barris</w:t>
      </w:r>
      <w:proofErr w:type="spellEnd"/>
      <w:r w:rsidRPr="005F046F">
        <w:rPr>
          <w:rFonts w:ascii="Arial" w:hAnsi="Arial" w:cs="Arial"/>
          <w:b/>
          <w:sz w:val="24"/>
          <w:szCs w:val="24"/>
        </w:rPr>
        <w:t xml:space="preserve"> </w:t>
      </w:r>
      <w:r>
        <w:rPr>
          <w:rFonts w:ascii="Arial" w:hAnsi="Arial" w:cs="Arial"/>
          <w:sz w:val="24"/>
          <w:szCs w:val="24"/>
        </w:rPr>
        <w:t>por su constante apoyo</w:t>
      </w:r>
      <w:r w:rsidR="005F046F">
        <w:rPr>
          <w:rFonts w:ascii="Arial" w:hAnsi="Arial" w:cs="Arial"/>
          <w:sz w:val="24"/>
          <w:szCs w:val="24"/>
        </w:rPr>
        <w:t xml:space="preserve"> y todo lo ya nombrado anteriormente, a mis compañeros de generación: Catalina Santa Cruz, Rodrigo Vergara, Alejandra Torres, Paulina Arango y </w:t>
      </w:r>
      <w:proofErr w:type="spellStart"/>
      <w:r w:rsidR="005F046F">
        <w:rPr>
          <w:rFonts w:ascii="Arial" w:hAnsi="Arial" w:cs="Arial"/>
          <w:sz w:val="24"/>
          <w:szCs w:val="24"/>
        </w:rPr>
        <w:t>Jery</w:t>
      </w:r>
      <w:proofErr w:type="spellEnd"/>
      <w:r w:rsidR="005F046F">
        <w:rPr>
          <w:rFonts w:ascii="Arial" w:hAnsi="Arial" w:cs="Arial"/>
          <w:sz w:val="24"/>
          <w:szCs w:val="24"/>
        </w:rPr>
        <w:t xml:space="preserve"> Ponce. A mi tocayo, Camilo Quezada, al compañero Esteban Hurtado, a Vivian Singer, por sus consejos y tantos más que quizás no he nombrado acá. </w:t>
      </w:r>
    </w:p>
    <w:p w14:paraId="3D99C302" w14:textId="0BAC3A19" w:rsidR="00E76951" w:rsidRDefault="00E76951" w:rsidP="006E14DA">
      <w:pPr>
        <w:spacing w:after="0" w:line="240" w:lineRule="auto"/>
        <w:jc w:val="both"/>
        <w:rPr>
          <w:rFonts w:ascii="Arial" w:hAnsi="Arial" w:cs="Arial"/>
          <w:sz w:val="24"/>
          <w:szCs w:val="24"/>
        </w:rPr>
      </w:pPr>
      <w:r>
        <w:rPr>
          <w:rFonts w:ascii="Arial" w:hAnsi="Arial" w:cs="Arial"/>
          <w:sz w:val="24"/>
          <w:szCs w:val="24"/>
        </w:rPr>
        <w:tab/>
        <w:t xml:space="preserve">Finalmente quisiera agradecer a quienes fueron vitales en este proceso: a </w:t>
      </w:r>
      <w:r w:rsidRPr="00651A87">
        <w:rPr>
          <w:rFonts w:ascii="Arial" w:hAnsi="Arial" w:cs="Arial"/>
          <w:b/>
          <w:sz w:val="24"/>
          <w:szCs w:val="24"/>
        </w:rPr>
        <w:t>Juan Pablo Orellana</w:t>
      </w:r>
      <w:r>
        <w:rPr>
          <w:rFonts w:ascii="Arial" w:hAnsi="Arial" w:cs="Arial"/>
          <w:sz w:val="24"/>
          <w:szCs w:val="24"/>
        </w:rPr>
        <w:t xml:space="preserve"> por ser mi constante apoyo y empuje durante todo este </w:t>
      </w:r>
      <w:r w:rsidR="008C3C63">
        <w:rPr>
          <w:rFonts w:ascii="Arial" w:hAnsi="Arial" w:cs="Arial"/>
          <w:sz w:val="24"/>
          <w:szCs w:val="24"/>
        </w:rPr>
        <w:t xml:space="preserve">viaje. Tu aporte a esta tesis ha sido lo más importante para poder llevarla a cabo. Quisiera agradecer también a mi familia, en especial a </w:t>
      </w:r>
      <w:r w:rsidR="008C3C63" w:rsidRPr="00651A87">
        <w:rPr>
          <w:rFonts w:ascii="Arial" w:hAnsi="Arial" w:cs="Arial"/>
          <w:b/>
          <w:sz w:val="24"/>
          <w:szCs w:val="24"/>
        </w:rPr>
        <w:t>mis padres</w:t>
      </w:r>
      <w:r w:rsidR="008C3C63">
        <w:rPr>
          <w:rFonts w:ascii="Arial" w:hAnsi="Arial" w:cs="Arial"/>
          <w:sz w:val="24"/>
          <w:szCs w:val="24"/>
        </w:rPr>
        <w:t xml:space="preserve">, por haber hecho todo esto posible. Sin </w:t>
      </w:r>
      <w:proofErr w:type="spellStart"/>
      <w:r w:rsidR="008C3C63">
        <w:rPr>
          <w:rFonts w:ascii="Arial" w:hAnsi="Arial" w:cs="Arial"/>
          <w:sz w:val="24"/>
          <w:szCs w:val="24"/>
        </w:rPr>
        <w:t>uds.</w:t>
      </w:r>
      <w:proofErr w:type="spellEnd"/>
      <w:r w:rsidR="008C3C63">
        <w:rPr>
          <w:rFonts w:ascii="Arial" w:hAnsi="Arial" w:cs="Arial"/>
          <w:sz w:val="24"/>
          <w:szCs w:val="24"/>
        </w:rPr>
        <w:t xml:space="preserve"> no sería quién soy y nada de esto hubiese pasado. </w:t>
      </w:r>
    </w:p>
    <w:p w14:paraId="47A549C8" w14:textId="450EDB42" w:rsidR="006E14DA" w:rsidRDefault="005F046F" w:rsidP="006E14DA">
      <w:pPr>
        <w:spacing w:after="0" w:line="240" w:lineRule="auto"/>
        <w:jc w:val="both"/>
        <w:rPr>
          <w:rFonts w:ascii="Arial" w:hAnsi="Arial" w:cs="Arial"/>
          <w:sz w:val="24"/>
          <w:szCs w:val="24"/>
        </w:rPr>
      </w:pPr>
      <w:r>
        <w:rPr>
          <w:rFonts w:ascii="Arial" w:hAnsi="Arial" w:cs="Arial"/>
          <w:sz w:val="24"/>
          <w:szCs w:val="24"/>
        </w:rPr>
        <w:tab/>
        <w:t xml:space="preserve">Esta tesis de doctorado fue financiada por </w:t>
      </w:r>
      <w:r w:rsidR="00E76951">
        <w:rPr>
          <w:rFonts w:ascii="Arial" w:hAnsi="Arial" w:cs="Arial"/>
          <w:sz w:val="24"/>
          <w:szCs w:val="24"/>
        </w:rPr>
        <w:t xml:space="preserve">CONICYT Beca de Doctorado Nacional </w:t>
      </w:r>
      <w:r w:rsidR="008C3C63">
        <w:rPr>
          <w:rFonts w:ascii="Arial" w:hAnsi="Arial" w:cs="Arial"/>
          <w:sz w:val="24"/>
          <w:szCs w:val="24"/>
        </w:rPr>
        <w:t>21120909.</w:t>
      </w:r>
    </w:p>
    <w:p w14:paraId="015FB845" w14:textId="77777777" w:rsidR="00C154DC" w:rsidRDefault="00C154DC">
      <w:pPr>
        <w:rPr>
          <w:rFonts w:ascii="Arial" w:hAnsi="Arial" w:cs="Arial"/>
          <w:sz w:val="24"/>
          <w:szCs w:val="24"/>
        </w:rPr>
      </w:pPr>
    </w:p>
    <w:p w14:paraId="522928D9" w14:textId="6EA2C0F1" w:rsidR="00C24DFF" w:rsidRDefault="009B11EB" w:rsidP="007478BF">
      <w:pPr>
        <w:spacing w:after="0" w:line="240" w:lineRule="auto"/>
        <w:jc w:val="center"/>
        <w:rPr>
          <w:rFonts w:ascii="Times New Roman" w:hAnsi="Times New Roman" w:cs="Times New Roman"/>
          <w:sz w:val="24"/>
          <w:szCs w:val="24"/>
        </w:rPr>
      </w:pPr>
      <w:r w:rsidRPr="00C24DFF">
        <w:rPr>
          <w:rFonts w:ascii="Times New Roman" w:hAnsi="Times New Roman" w:cs="Times New Roman"/>
          <w:sz w:val="24"/>
          <w:szCs w:val="24"/>
        </w:rPr>
        <w:lastRenderedPageBreak/>
        <w:t>Índice</w:t>
      </w:r>
    </w:p>
    <w:p w14:paraId="1010DE22" w14:textId="77777777" w:rsidR="00C24DFF" w:rsidRDefault="00C24DFF" w:rsidP="007478BF">
      <w:pPr>
        <w:spacing w:after="0" w:line="240" w:lineRule="auto"/>
        <w:jc w:val="center"/>
        <w:rPr>
          <w:rFonts w:ascii="Times New Roman" w:hAnsi="Times New Roman" w:cs="Times New Roman"/>
          <w:sz w:val="24"/>
          <w:szCs w:val="24"/>
        </w:rPr>
      </w:pPr>
    </w:p>
    <w:p w14:paraId="41649731" w14:textId="77777777" w:rsidR="008B4737" w:rsidRDefault="008B4737">
      <w:pPr>
        <w:rPr>
          <w:rFonts w:ascii="Times New Roman" w:hAnsi="Times New Roman" w:cs="Times New Roman"/>
          <w:sz w:val="24"/>
          <w:szCs w:val="24"/>
        </w:rPr>
      </w:pPr>
    </w:p>
    <w:p w14:paraId="03A577BF" w14:textId="4E8B6655" w:rsidR="008B4737" w:rsidRPr="00D11BAC" w:rsidRDefault="008B4737" w:rsidP="00BC7972">
      <w:pPr>
        <w:contextualSpacing/>
        <w:rPr>
          <w:rFonts w:ascii="Times New Roman" w:hAnsi="Times New Roman" w:cs="Times New Roman"/>
          <w:sz w:val="24"/>
          <w:szCs w:val="24"/>
        </w:rPr>
      </w:pPr>
      <w:r w:rsidRPr="00D11BAC">
        <w:rPr>
          <w:rFonts w:ascii="Times New Roman" w:hAnsi="Times New Roman" w:cs="Times New Roman"/>
          <w:sz w:val="24"/>
          <w:szCs w:val="24"/>
        </w:rPr>
        <w:t xml:space="preserve">Introducción          </w:t>
      </w:r>
      <w:r>
        <w:rPr>
          <w:rFonts w:ascii="Times New Roman" w:hAnsi="Times New Roman" w:cs="Times New Roman"/>
          <w:sz w:val="24"/>
          <w:szCs w:val="24"/>
        </w:rPr>
        <w:t xml:space="preserve">   </w:t>
      </w:r>
      <w:r w:rsidRPr="00D11BAC">
        <w:rPr>
          <w:rFonts w:ascii="Times New Roman" w:hAnsi="Times New Roman" w:cs="Times New Roman"/>
          <w:sz w:val="24"/>
          <w:szCs w:val="24"/>
        </w:rPr>
        <w:t xml:space="preserve">                                                                                                             1</w:t>
      </w:r>
    </w:p>
    <w:p w14:paraId="1374AAE9" w14:textId="4CD7A741" w:rsidR="008B4737" w:rsidRPr="00D11BAC" w:rsidRDefault="008B4737" w:rsidP="00BC7972">
      <w:pPr>
        <w:contextualSpacing/>
        <w:rPr>
          <w:rFonts w:ascii="Times New Roman" w:hAnsi="Times New Roman"/>
          <w:sz w:val="24"/>
          <w:szCs w:val="24"/>
        </w:rPr>
      </w:pPr>
      <w:r w:rsidRPr="00D11BAC">
        <w:rPr>
          <w:rFonts w:ascii="Times New Roman" w:hAnsi="Times New Roman"/>
          <w:sz w:val="24"/>
          <w:szCs w:val="24"/>
        </w:rPr>
        <w:t xml:space="preserve">Capítulo I: Financiamiento de la Salud Mental en Chile: Una Deuda Pendiente    </w:t>
      </w:r>
      <w:r w:rsidR="00D11BAC">
        <w:rPr>
          <w:rFonts w:ascii="Times New Roman" w:hAnsi="Times New Roman"/>
          <w:sz w:val="24"/>
          <w:szCs w:val="24"/>
        </w:rPr>
        <w:t xml:space="preserve">       </w:t>
      </w:r>
      <w:r w:rsidRPr="00D11BAC">
        <w:rPr>
          <w:rFonts w:ascii="Times New Roman" w:hAnsi="Times New Roman"/>
          <w:sz w:val="24"/>
          <w:szCs w:val="24"/>
        </w:rPr>
        <w:t xml:space="preserve">      </w:t>
      </w:r>
      <w:r w:rsidR="0067788B" w:rsidRPr="00D11BAC">
        <w:rPr>
          <w:rFonts w:ascii="Times New Roman" w:hAnsi="Times New Roman"/>
          <w:sz w:val="24"/>
          <w:szCs w:val="24"/>
        </w:rPr>
        <w:t>3</w:t>
      </w:r>
    </w:p>
    <w:p w14:paraId="6FF81E57" w14:textId="7245E334" w:rsidR="008B4737" w:rsidRPr="00D11BAC" w:rsidRDefault="008B4737" w:rsidP="00BC7972">
      <w:pPr>
        <w:contextualSpacing/>
        <w:jc w:val="both"/>
        <w:rPr>
          <w:rFonts w:ascii="Times New Roman" w:hAnsi="Times New Roman"/>
          <w:sz w:val="24"/>
          <w:szCs w:val="24"/>
        </w:rPr>
      </w:pPr>
      <w:r w:rsidRPr="00D11BAC">
        <w:rPr>
          <w:rFonts w:ascii="Times New Roman" w:hAnsi="Times New Roman"/>
          <w:sz w:val="24"/>
          <w:szCs w:val="24"/>
        </w:rPr>
        <w:tab/>
        <w:t>Políticas de salud mental en Chile</w:t>
      </w:r>
      <w:r w:rsidR="0067788B" w:rsidRPr="00D11BAC">
        <w:rPr>
          <w:rFonts w:ascii="Times New Roman" w:hAnsi="Times New Roman"/>
          <w:sz w:val="24"/>
          <w:szCs w:val="24"/>
        </w:rPr>
        <w:t xml:space="preserve">                                                           </w:t>
      </w:r>
      <w:r w:rsidR="00D11BAC">
        <w:rPr>
          <w:rFonts w:ascii="Times New Roman" w:hAnsi="Times New Roman"/>
          <w:sz w:val="24"/>
          <w:szCs w:val="24"/>
        </w:rPr>
        <w:t xml:space="preserve">  </w:t>
      </w:r>
      <w:r w:rsidR="0067788B" w:rsidRPr="00D11BAC">
        <w:rPr>
          <w:rFonts w:ascii="Times New Roman" w:hAnsi="Times New Roman"/>
          <w:sz w:val="24"/>
          <w:szCs w:val="24"/>
        </w:rPr>
        <w:t xml:space="preserve">                </w:t>
      </w:r>
      <w:r w:rsidR="00D11BAC" w:rsidRPr="00D11BAC">
        <w:rPr>
          <w:rFonts w:ascii="Times New Roman" w:hAnsi="Times New Roman"/>
          <w:sz w:val="24"/>
          <w:szCs w:val="24"/>
        </w:rPr>
        <w:t>5</w:t>
      </w:r>
    </w:p>
    <w:p w14:paraId="43853774" w14:textId="0107179C" w:rsidR="00E75CC8" w:rsidRPr="00D11BAC" w:rsidRDefault="00E75CC8" w:rsidP="00BC7972">
      <w:pPr>
        <w:contextualSpacing/>
        <w:jc w:val="both"/>
        <w:rPr>
          <w:rFonts w:ascii="Times New Roman" w:hAnsi="Times New Roman"/>
          <w:sz w:val="24"/>
          <w:szCs w:val="24"/>
        </w:rPr>
      </w:pPr>
      <w:r w:rsidRPr="00D11BAC">
        <w:rPr>
          <w:rFonts w:ascii="Times New Roman" w:hAnsi="Times New Roman"/>
          <w:sz w:val="24"/>
          <w:szCs w:val="24"/>
        </w:rPr>
        <w:tab/>
        <w:t>Financiamiento de la salud mental en Chile</w:t>
      </w:r>
      <w:r w:rsidR="00D11BAC" w:rsidRPr="00D11BAC">
        <w:rPr>
          <w:rFonts w:ascii="Times New Roman" w:hAnsi="Times New Roman"/>
          <w:sz w:val="24"/>
          <w:szCs w:val="24"/>
        </w:rPr>
        <w:t xml:space="preserve">                                            </w:t>
      </w:r>
      <w:r w:rsidR="00D11BAC">
        <w:rPr>
          <w:rFonts w:ascii="Times New Roman" w:hAnsi="Times New Roman"/>
          <w:sz w:val="24"/>
          <w:szCs w:val="24"/>
        </w:rPr>
        <w:t xml:space="preserve">   </w:t>
      </w:r>
      <w:r w:rsidR="00D11BAC" w:rsidRPr="00D11BAC">
        <w:rPr>
          <w:rFonts w:ascii="Times New Roman" w:hAnsi="Times New Roman"/>
          <w:sz w:val="24"/>
          <w:szCs w:val="24"/>
        </w:rPr>
        <w:t xml:space="preserve">               6</w:t>
      </w:r>
    </w:p>
    <w:p w14:paraId="0EEAC23F" w14:textId="4A286A12" w:rsidR="00D11BAC" w:rsidRDefault="00D11BAC" w:rsidP="00BC7972">
      <w:pPr>
        <w:contextualSpacing/>
        <w:jc w:val="both"/>
        <w:rPr>
          <w:rFonts w:ascii="Times New Roman" w:hAnsi="Times New Roman"/>
          <w:sz w:val="24"/>
          <w:szCs w:val="24"/>
        </w:rPr>
      </w:pPr>
      <w:r w:rsidRPr="00D11BAC">
        <w:rPr>
          <w:rFonts w:ascii="Times New Roman" w:hAnsi="Times New Roman"/>
          <w:sz w:val="24"/>
          <w:szCs w:val="24"/>
        </w:rPr>
        <w:tab/>
        <w:t>El costo de no invertir en salud mental</w:t>
      </w:r>
      <w:r>
        <w:rPr>
          <w:rFonts w:ascii="Times New Roman" w:hAnsi="Times New Roman"/>
          <w:sz w:val="24"/>
          <w:szCs w:val="24"/>
        </w:rPr>
        <w:t xml:space="preserve">                                                                      9</w:t>
      </w:r>
    </w:p>
    <w:p w14:paraId="0B7A1FC4" w14:textId="18AB1574" w:rsidR="00BC7972" w:rsidRDefault="00BC7972" w:rsidP="00BC7972">
      <w:pPr>
        <w:contextualSpacing/>
        <w:jc w:val="both"/>
        <w:rPr>
          <w:rFonts w:ascii="Times New Roman" w:hAnsi="Times New Roman"/>
          <w:sz w:val="24"/>
          <w:szCs w:val="24"/>
        </w:rPr>
      </w:pPr>
      <w:r>
        <w:rPr>
          <w:rFonts w:ascii="Times New Roman" w:hAnsi="Times New Roman"/>
          <w:sz w:val="24"/>
          <w:szCs w:val="24"/>
        </w:rPr>
        <w:tab/>
        <w:t>Enfermedades físicas y mentales: un problema de equidad                                      12</w:t>
      </w:r>
    </w:p>
    <w:p w14:paraId="6619A4B5" w14:textId="0FFF699F" w:rsidR="00BC7972" w:rsidRDefault="00BC7972" w:rsidP="00BC7972">
      <w:pPr>
        <w:contextualSpacing/>
        <w:jc w:val="both"/>
        <w:rPr>
          <w:rFonts w:ascii="Times New Roman" w:hAnsi="Times New Roman"/>
          <w:sz w:val="24"/>
          <w:szCs w:val="24"/>
        </w:rPr>
      </w:pPr>
      <w:r>
        <w:rPr>
          <w:rFonts w:ascii="Times New Roman" w:hAnsi="Times New Roman"/>
          <w:sz w:val="24"/>
          <w:szCs w:val="24"/>
        </w:rPr>
        <w:tab/>
        <w:t>Discusión</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13</w:t>
      </w:r>
    </w:p>
    <w:p w14:paraId="5483C2CA" w14:textId="6B997A25" w:rsidR="00BC7972" w:rsidRDefault="00BC7972" w:rsidP="00BC7972">
      <w:pPr>
        <w:contextualSpacing/>
        <w:jc w:val="both"/>
        <w:rPr>
          <w:rFonts w:ascii="Times New Roman" w:hAnsi="Times New Roman"/>
          <w:sz w:val="24"/>
          <w:szCs w:val="24"/>
        </w:rPr>
      </w:pPr>
      <w:r>
        <w:rPr>
          <w:rFonts w:ascii="Times New Roman" w:hAnsi="Times New Roman"/>
          <w:sz w:val="24"/>
          <w:szCs w:val="24"/>
        </w:rPr>
        <w:t>Anexo: Salud Mental en Chile: Una Actualización</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14</w:t>
      </w:r>
    </w:p>
    <w:p w14:paraId="79EFD360" w14:textId="5A229F7B" w:rsidR="00BC7972" w:rsidRDefault="00BC7972" w:rsidP="00BC7972">
      <w:pPr>
        <w:contextualSpacing/>
        <w:jc w:val="both"/>
        <w:rPr>
          <w:rFonts w:ascii="Times New Roman" w:hAnsi="Times New Roman"/>
          <w:sz w:val="24"/>
          <w:szCs w:val="24"/>
        </w:rPr>
      </w:pPr>
      <w:r>
        <w:rPr>
          <w:rFonts w:ascii="Times New Roman" w:hAnsi="Times New Roman"/>
          <w:sz w:val="24"/>
          <w:szCs w:val="24"/>
        </w:rPr>
        <w:tab/>
        <w:t xml:space="preserve">Conclusiones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17</w:t>
      </w:r>
    </w:p>
    <w:p w14:paraId="19A1B5A7" w14:textId="636AB9A9" w:rsidR="00BC7972" w:rsidRDefault="00BC7972" w:rsidP="00BC7972">
      <w:pPr>
        <w:ind w:right="49"/>
        <w:contextualSpacing/>
        <w:jc w:val="both"/>
        <w:rPr>
          <w:rFonts w:ascii="Times New Roman" w:hAnsi="Times New Roman"/>
          <w:sz w:val="24"/>
          <w:szCs w:val="24"/>
        </w:rPr>
      </w:pPr>
      <w:r>
        <w:rPr>
          <w:rFonts w:ascii="Times New Roman" w:hAnsi="Times New Roman"/>
          <w:sz w:val="24"/>
          <w:szCs w:val="24"/>
        </w:rPr>
        <w:t>Capítulo II: Propiedades psicométricas del Inventario de Depresión de Beck IA para la población chilena                                                                                                                   19</w:t>
      </w:r>
    </w:p>
    <w:p w14:paraId="47A48D03" w14:textId="4B51E731" w:rsidR="00BC7972" w:rsidRDefault="00BC7972" w:rsidP="00BC7972">
      <w:pPr>
        <w:ind w:right="49"/>
        <w:contextualSpacing/>
        <w:jc w:val="both"/>
        <w:rPr>
          <w:rFonts w:ascii="Times New Roman" w:hAnsi="Times New Roman"/>
          <w:sz w:val="24"/>
          <w:szCs w:val="24"/>
        </w:rPr>
      </w:pPr>
      <w:r>
        <w:rPr>
          <w:rFonts w:ascii="Times New Roman" w:hAnsi="Times New Roman"/>
          <w:sz w:val="24"/>
          <w:szCs w:val="24"/>
        </w:rPr>
        <w:tab/>
        <w:t>Introducción</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19</w:t>
      </w:r>
    </w:p>
    <w:p w14:paraId="201F1034" w14:textId="39839CD7" w:rsidR="00BC7972" w:rsidRDefault="00BC7972" w:rsidP="00BC7972">
      <w:pPr>
        <w:ind w:right="49"/>
        <w:contextualSpacing/>
        <w:jc w:val="both"/>
        <w:rPr>
          <w:rFonts w:ascii="Times New Roman" w:hAnsi="Times New Roman"/>
          <w:sz w:val="24"/>
          <w:szCs w:val="24"/>
        </w:rPr>
      </w:pPr>
      <w:r>
        <w:rPr>
          <w:rFonts w:ascii="Times New Roman" w:hAnsi="Times New Roman"/>
          <w:sz w:val="24"/>
          <w:szCs w:val="24"/>
        </w:rPr>
        <w:tab/>
        <w:t xml:space="preserve">Materiales y Métodos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20</w:t>
      </w:r>
    </w:p>
    <w:p w14:paraId="0924B256" w14:textId="60A42A92" w:rsidR="00BC7972" w:rsidRDefault="00BC7972" w:rsidP="00BC7972">
      <w:pPr>
        <w:ind w:right="49"/>
        <w:contextualSpacing/>
        <w:jc w:val="both"/>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t>Muestra</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20</w:t>
      </w:r>
    </w:p>
    <w:p w14:paraId="06313B0D" w14:textId="09F29A13" w:rsidR="00BC7972" w:rsidRDefault="00BC7972" w:rsidP="00BC7972">
      <w:pPr>
        <w:ind w:right="49"/>
        <w:contextualSpacing/>
        <w:jc w:val="both"/>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t>Instrumentos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w:t>
      </w:r>
      <w:r w:rsidR="004A5D3F">
        <w:rPr>
          <w:rFonts w:ascii="Times New Roman" w:hAnsi="Times New Roman"/>
          <w:sz w:val="24"/>
          <w:szCs w:val="24"/>
        </w:rPr>
        <w:t xml:space="preserve"> </w:t>
      </w:r>
      <w:r>
        <w:rPr>
          <w:rFonts w:ascii="Times New Roman" w:hAnsi="Times New Roman"/>
          <w:sz w:val="24"/>
          <w:szCs w:val="24"/>
        </w:rPr>
        <w:t xml:space="preserve">  21</w:t>
      </w:r>
    </w:p>
    <w:p w14:paraId="1501FE88" w14:textId="188C1953" w:rsidR="00BC7972" w:rsidRDefault="00BC7972" w:rsidP="00BC7972">
      <w:pPr>
        <w:ind w:right="49"/>
        <w:contextualSpacing/>
        <w:jc w:val="both"/>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t>Procedimientos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w:t>
      </w:r>
      <w:r w:rsidR="004A5D3F">
        <w:rPr>
          <w:rFonts w:ascii="Times New Roman" w:hAnsi="Times New Roman"/>
          <w:sz w:val="24"/>
          <w:szCs w:val="24"/>
        </w:rPr>
        <w:t xml:space="preserve"> </w:t>
      </w:r>
      <w:r>
        <w:rPr>
          <w:rFonts w:ascii="Times New Roman" w:hAnsi="Times New Roman"/>
          <w:sz w:val="24"/>
          <w:szCs w:val="24"/>
        </w:rPr>
        <w:t xml:space="preserve"> 22</w:t>
      </w:r>
      <w:r>
        <w:rPr>
          <w:rFonts w:ascii="Times New Roman" w:hAnsi="Times New Roman"/>
          <w:sz w:val="24"/>
          <w:szCs w:val="24"/>
        </w:rPr>
        <w:tab/>
        <w:t>Resultados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w:t>
      </w:r>
      <w:r w:rsidR="004A5D3F">
        <w:rPr>
          <w:rFonts w:ascii="Times New Roman" w:hAnsi="Times New Roman"/>
          <w:sz w:val="24"/>
          <w:szCs w:val="24"/>
        </w:rPr>
        <w:t xml:space="preserve"> </w:t>
      </w:r>
      <w:r>
        <w:rPr>
          <w:rFonts w:ascii="Times New Roman" w:hAnsi="Times New Roman"/>
          <w:sz w:val="24"/>
          <w:szCs w:val="24"/>
        </w:rPr>
        <w:t>23</w:t>
      </w:r>
      <w:r>
        <w:rPr>
          <w:rFonts w:ascii="Times New Roman" w:hAnsi="Times New Roman"/>
          <w:sz w:val="24"/>
          <w:szCs w:val="24"/>
        </w:rPr>
        <w:tab/>
      </w:r>
      <w:r>
        <w:rPr>
          <w:rFonts w:ascii="Times New Roman" w:hAnsi="Times New Roman"/>
          <w:sz w:val="24"/>
          <w:szCs w:val="24"/>
        </w:rPr>
        <w:tab/>
        <w:t>Confiabilidad</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w:t>
      </w:r>
      <w:r w:rsidR="004A5D3F">
        <w:rPr>
          <w:rFonts w:ascii="Times New Roman" w:hAnsi="Times New Roman"/>
          <w:sz w:val="24"/>
          <w:szCs w:val="24"/>
        </w:rPr>
        <w:t xml:space="preserve"> </w:t>
      </w:r>
      <w:r>
        <w:rPr>
          <w:rFonts w:ascii="Times New Roman" w:hAnsi="Times New Roman"/>
          <w:sz w:val="24"/>
          <w:szCs w:val="24"/>
        </w:rPr>
        <w:t>23</w:t>
      </w:r>
      <w:r>
        <w:rPr>
          <w:rFonts w:ascii="Times New Roman" w:hAnsi="Times New Roman"/>
          <w:sz w:val="24"/>
          <w:szCs w:val="24"/>
        </w:rPr>
        <w:tab/>
      </w:r>
      <w:r>
        <w:rPr>
          <w:rFonts w:ascii="Times New Roman" w:hAnsi="Times New Roman"/>
          <w:sz w:val="24"/>
          <w:szCs w:val="24"/>
        </w:rPr>
        <w:tab/>
        <w:t>Validez</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4A5D3F">
        <w:rPr>
          <w:rFonts w:ascii="Times New Roman" w:hAnsi="Times New Roman"/>
          <w:sz w:val="24"/>
          <w:szCs w:val="24"/>
        </w:rPr>
        <w:t>24</w:t>
      </w:r>
    </w:p>
    <w:p w14:paraId="51B43C39" w14:textId="490F702A" w:rsidR="004A5D3F" w:rsidRDefault="004A5D3F" w:rsidP="00BC7972">
      <w:pPr>
        <w:ind w:right="49"/>
        <w:contextualSpacing/>
        <w:jc w:val="both"/>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t>Puntaje de Corte</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26</w:t>
      </w:r>
    </w:p>
    <w:p w14:paraId="704ED29F" w14:textId="35F38ABE" w:rsidR="004A5D3F" w:rsidRDefault="004A5D3F" w:rsidP="00BC7972">
      <w:pPr>
        <w:ind w:right="49"/>
        <w:contextualSpacing/>
        <w:jc w:val="both"/>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t>Discusión</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27</w:t>
      </w:r>
    </w:p>
    <w:p w14:paraId="5B1E72EA" w14:textId="2C1901D1" w:rsidR="004A5D3F" w:rsidRDefault="004A5D3F" w:rsidP="00BC7972">
      <w:pPr>
        <w:ind w:right="49"/>
        <w:contextualSpacing/>
        <w:jc w:val="both"/>
        <w:rPr>
          <w:rFonts w:ascii="Times New Roman" w:hAnsi="Times New Roman"/>
          <w:sz w:val="24"/>
          <w:szCs w:val="24"/>
        </w:rPr>
      </w:pPr>
      <w:r>
        <w:rPr>
          <w:rFonts w:ascii="Times New Roman" w:hAnsi="Times New Roman"/>
          <w:sz w:val="24"/>
          <w:szCs w:val="24"/>
        </w:rPr>
        <w:t xml:space="preserve">Capítulo III: Comparación de características sociodemográficas, clínicas y de resultado de terapia entre pacientes depresivos atendidos en instituciones públicas y privadas, en la Región Metropolitana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33</w:t>
      </w:r>
    </w:p>
    <w:p w14:paraId="56676938" w14:textId="330ACE95" w:rsidR="004A5D3F" w:rsidRDefault="004A5D3F" w:rsidP="00BC7972">
      <w:pPr>
        <w:ind w:right="49"/>
        <w:contextualSpacing/>
        <w:jc w:val="both"/>
        <w:rPr>
          <w:rFonts w:ascii="Times New Roman" w:hAnsi="Times New Roman"/>
          <w:sz w:val="24"/>
          <w:szCs w:val="24"/>
        </w:rPr>
      </w:pPr>
      <w:r>
        <w:rPr>
          <w:rFonts w:ascii="Times New Roman" w:hAnsi="Times New Roman"/>
          <w:sz w:val="24"/>
          <w:szCs w:val="24"/>
        </w:rPr>
        <w:tab/>
        <w:t>Introducción</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33</w:t>
      </w:r>
    </w:p>
    <w:p w14:paraId="7C69291B" w14:textId="0F5159E0" w:rsidR="004A5D3F" w:rsidRDefault="004A5D3F" w:rsidP="00BC7972">
      <w:pPr>
        <w:ind w:right="49"/>
        <w:contextualSpacing/>
        <w:jc w:val="both"/>
        <w:rPr>
          <w:rFonts w:ascii="Times New Roman" w:hAnsi="Times New Roman"/>
          <w:sz w:val="24"/>
          <w:szCs w:val="24"/>
        </w:rPr>
      </w:pPr>
      <w:r>
        <w:rPr>
          <w:rFonts w:ascii="Times New Roman" w:hAnsi="Times New Roman"/>
          <w:sz w:val="24"/>
          <w:szCs w:val="24"/>
        </w:rPr>
        <w:tab/>
        <w:t>Materiales y métodos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34</w:t>
      </w:r>
    </w:p>
    <w:p w14:paraId="3EF1A970" w14:textId="3E1F91C6" w:rsidR="004A5D3F" w:rsidRDefault="004A5D3F" w:rsidP="00BC7972">
      <w:pPr>
        <w:ind w:right="49"/>
        <w:contextualSpacing/>
        <w:jc w:val="both"/>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t>Participantes y métodos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34</w:t>
      </w:r>
    </w:p>
    <w:p w14:paraId="5C283145" w14:textId="7CC88487" w:rsidR="004A5D3F" w:rsidRDefault="004A5D3F" w:rsidP="00BC7972">
      <w:pPr>
        <w:ind w:right="49"/>
        <w:contextualSpacing/>
        <w:jc w:val="both"/>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t>Instrumentos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35</w:t>
      </w:r>
    </w:p>
    <w:p w14:paraId="339120EF" w14:textId="7CF7585A" w:rsidR="004A5D3F" w:rsidRDefault="004A5D3F" w:rsidP="00BC7972">
      <w:pPr>
        <w:ind w:right="49"/>
        <w:contextualSpacing/>
        <w:jc w:val="both"/>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t>Análisis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36</w:t>
      </w:r>
    </w:p>
    <w:p w14:paraId="38056071" w14:textId="25C670CD" w:rsidR="004A5D3F" w:rsidRDefault="004A5D3F" w:rsidP="00BC7972">
      <w:pPr>
        <w:ind w:right="49"/>
        <w:contextualSpacing/>
        <w:jc w:val="both"/>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t>Resultados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36</w:t>
      </w:r>
    </w:p>
    <w:p w14:paraId="48E23280" w14:textId="339E23F8" w:rsidR="004A5D3F" w:rsidRDefault="004A5D3F" w:rsidP="00BC7972">
      <w:pPr>
        <w:ind w:right="49"/>
        <w:contextualSpacing/>
        <w:jc w:val="both"/>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Comparación de características sociodemográficas y clínicas de la población atendida en Centros de Salud Mental y centros privado-universitario</w:t>
      </w:r>
      <w:r>
        <w:rPr>
          <w:rFonts w:ascii="Times New Roman" w:hAnsi="Times New Roman"/>
          <w:sz w:val="24"/>
          <w:szCs w:val="24"/>
        </w:rPr>
        <w:tab/>
      </w:r>
      <w:r>
        <w:rPr>
          <w:rFonts w:ascii="Times New Roman" w:hAnsi="Times New Roman"/>
          <w:sz w:val="24"/>
          <w:szCs w:val="24"/>
        </w:rPr>
        <w:tab/>
        <w:t>37</w:t>
      </w:r>
    </w:p>
    <w:p w14:paraId="64145E0A" w14:textId="77777777" w:rsidR="004A5D3F" w:rsidRDefault="004A5D3F" w:rsidP="00BC7972">
      <w:pPr>
        <w:ind w:right="49"/>
        <w:contextualSpacing/>
        <w:jc w:val="both"/>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Comparación de interrupción y término de las terapias de </w:t>
      </w:r>
      <w:proofErr w:type="spellStart"/>
      <w:r>
        <w:rPr>
          <w:rFonts w:ascii="Times New Roman" w:hAnsi="Times New Roman"/>
          <w:sz w:val="24"/>
          <w:szCs w:val="24"/>
        </w:rPr>
        <w:t>COSAMs</w:t>
      </w:r>
      <w:proofErr w:type="spellEnd"/>
      <w:r>
        <w:rPr>
          <w:rFonts w:ascii="Times New Roman" w:hAnsi="Times New Roman"/>
          <w:sz w:val="24"/>
          <w:szCs w:val="24"/>
        </w:rPr>
        <w:t xml:space="preserve"> versus centros de atención universitaria</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38</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Resultados terapéuticos en pacientes que llegaron al alta</w:t>
      </w:r>
      <w:r>
        <w:rPr>
          <w:rFonts w:ascii="Times New Roman" w:hAnsi="Times New Roman"/>
          <w:sz w:val="24"/>
          <w:szCs w:val="24"/>
        </w:rPr>
        <w:tab/>
      </w:r>
      <w:r>
        <w:rPr>
          <w:rFonts w:ascii="Times New Roman" w:hAnsi="Times New Roman"/>
          <w:sz w:val="24"/>
          <w:szCs w:val="24"/>
        </w:rPr>
        <w:tab/>
        <w:t>39</w:t>
      </w:r>
    </w:p>
    <w:p w14:paraId="21A3A68F" w14:textId="77777777" w:rsidR="004A5D3F" w:rsidRDefault="004A5D3F" w:rsidP="00BC7972">
      <w:pPr>
        <w:ind w:right="49"/>
        <w:contextualSpacing/>
        <w:jc w:val="both"/>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Discusión</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39</w:t>
      </w:r>
    </w:p>
    <w:p w14:paraId="21BE5D5C" w14:textId="77777777" w:rsidR="004A5D3F" w:rsidRDefault="004A5D3F" w:rsidP="00BC7972">
      <w:pPr>
        <w:ind w:right="49"/>
        <w:contextualSpacing/>
        <w:jc w:val="both"/>
        <w:rPr>
          <w:rFonts w:ascii="Times New Roman" w:hAnsi="Times New Roman"/>
          <w:sz w:val="24"/>
          <w:szCs w:val="24"/>
        </w:rPr>
      </w:pPr>
    </w:p>
    <w:p w14:paraId="0F099186" w14:textId="77777777" w:rsidR="004A5D3F" w:rsidRDefault="004A5D3F" w:rsidP="00BC7972">
      <w:pPr>
        <w:ind w:right="49"/>
        <w:contextualSpacing/>
        <w:jc w:val="both"/>
        <w:rPr>
          <w:rFonts w:ascii="Times New Roman" w:hAnsi="Times New Roman"/>
          <w:sz w:val="24"/>
          <w:szCs w:val="24"/>
        </w:rPr>
      </w:pPr>
      <w:r>
        <w:rPr>
          <w:rFonts w:ascii="Times New Roman" w:hAnsi="Times New Roman"/>
          <w:sz w:val="24"/>
          <w:szCs w:val="24"/>
        </w:rPr>
        <w:lastRenderedPageBreak/>
        <w:t>Conclusiones Finales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42</w:t>
      </w:r>
    </w:p>
    <w:p w14:paraId="63AB1523" w14:textId="77777777" w:rsidR="004A5D3F" w:rsidRDefault="004A5D3F" w:rsidP="00BC7972">
      <w:pPr>
        <w:ind w:right="49"/>
        <w:contextualSpacing/>
        <w:jc w:val="both"/>
        <w:rPr>
          <w:rFonts w:ascii="Times New Roman" w:hAnsi="Times New Roman"/>
          <w:sz w:val="24"/>
          <w:szCs w:val="24"/>
        </w:rPr>
      </w:pPr>
    </w:p>
    <w:p w14:paraId="5489BDD3" w14:textId="181B84D3" w:rsidR="004A5D3F" w:rsidRDefault="004A5D3F" w:rsidP="00BC7972">
      <w:pPr>
        <w:ind w:right="49"/>
        <w:contextualSpacing/>
        <w:jc w:val="both"/>
        <w:rPr>
          <w:rFonts w:ascii="Times New Roman" w:hAnsi="Times New Roman"/>
          <w:sz w:val="24"/>
          <w:szCs w:val="24"/>
        </w:rPr>
      </w:pPr>
      <w:r>
        <w:rPr>
          <w:rFonts w:ascii="Times New Roman" w:hAnsi="Times New Roman"/>
          <w:sz w:val="24"/>
          <w:szCs w:val="24"/>
        </w:rPr>
        <w:t>Referencias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44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p>
    <w:p w14:paraId="22E395DB" w14:textId="686FD836" w:rsidR="004A5D3F" w:rsidRDefault="004A5D3F" w:rsidP="00BC7972">
      <w:pPr>
        <w:ind w:right="49"/>
        <w:contextualSpacing/>
        <w:jc w:val="both"/>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p>
    <w:p w14:paraId="7FA93CD6" w14:textId="77777777" w:rsidR="00BC7972" w:rsidRDefault="00BC7972" w:rsidP="00D11BAC">
      <w:pPr>
        <w:spacing w:line="360" w:lineRule="auto"/>
        <w:jc w:val="both"/>
        <w:rPr>
          <w:rFonts w:ascii="Times New Roman" w:hAnsi="Times New Roman"/>
          <w:sz w:val="24"/>
          <w:szCs w:val="24"/>
        </w:rPr>
      </w:pPr>
    </w:p>
    <w:p w14:paraId="0AFD9A08" w14:textId="77777777" w:rsidR="00D11BAC" w:rsidRPr="00D11BAC" w:rsidRDefault="00D11BAC" w:rsidP="00D11BAC">
      <w:pPr>
        <w:spacing w:line="360" w:lineRule="auto"/>
        <w:jc w:val="both"/>
        <w:rPr>
          <w:rFonts w:ascii="Times New Roman" w:eastAsia="Calibri" w:hAnsi="Times New Roman"/>
          <w:sz w:val="24"/>
          <w:szCs w:val="24"/>
        </w:rPr>
      </w:pPr>
    </w:p>
    <w:p w14:paraId="34F16503" w14:textId="2BBCE43B" w:rsidR="00D11BAC" w:rsidRDefault="00D11BAC" w:rsidP="00E75CC8">
      <w:pPr>
        <w:spacing w:line="360" w:lineRule="auto"/>
        <w:jc w:val="both"/>
        <w:rPr>
          <w:rFonts w:ascii="Times New Roman" w:hAnsi="Times New Roman"/>
          <w:b/>
          <w:sz w:val="24"/>
          <w:szCs w:val="24"/>
        </w:rPr>
      </w:pPr>
    </w:p>
    <w:p w14:paraId="14170AF2" w14:textId="7968C61D" w:rsidR="008B4737" w:rsidRPr="002B6696" w:rsidRDefault="008B4737" w:rsidP="008B4737">
      <w:pPr>
        <w:spacing w:line="360" w:lineRule="auto"/>
        <w:rPr>
          <w:rFonts w:ascii="Times New Roman" w:hAnsi="Times New Roman"/>
          <w:b/>
          <w:sz w:val="24"/>
          <w:szCs w:val="24"/>
        </w:rPr>
      </w:pPr>
    </w:p>
    <w:p w14:paraId="722674E6" w14:textId="5B8E782F" w:rsidR="00C24DFF" w:rsidRDefault="00C24DFF">
      <w:pPr>
        <w:rPr>
          <w:rFonts w:ascii="Times New Roman" w:hAnsi="Times New Roman" w:cs="Times New Roman"/>
          <w:sz w:val="24"/>
          <w:szCs w:val="24"/>
        </w:rPr>
      </w:pPr>
      <w:r>
        <w:rPr>
          <w:rFonts w:ascii="Times New Roman" w:hAnsi="Times New Roman" w:cs="Times New Roman"/>
          <w:sz w:val="24"/>
          <w:szCs w:val="24"/>
        </w:rPr>
        <w:br w:type="page"/>
      </w:r>
    </w:p>
    <w:p w14:paraId="485F7E63" w14:textId="77777777" w:rsidR="00E7031B" w:rsidRDefault="00E7031B" w:rsidP="007478BF">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lastRenderedPageBreak/>
        <w:t>Resumen</w:t>
      </w:r>
    </w:p>
    <w:p w14:paraId="128065EC" w14:textId="0A5CD57C" w:rsidR="00E7031B" w:rsidRDefault="00E7031B" w:rsidP="00CF2FF4">
      <w:pPr>
        <w:spacing w:after="0" w:line="240" w:lineRule="auto"/>
        <w:jc w:val="both"/>
        <w:rPr>
          <w:rFonts w:ascii="Times New Roman" w:hAnsi="Times New Roman" w:cs="Times New Roman"/>
          <w:sz w:val="24"/>
          <w:szCs w:val="24"/>
        </w:rPr>
      </w:pPr>
    </w:p>
    <w:p w14:paraId="462EA649" w14:textId="645C2536" w:rsidR="00BC1D48" w:rsidRDefault="00D10389" w:rsidP="007836C8">
      <w:pPr>
        <w:spacing w:after="0" w:line="240" w:lineRule="auto"/>
        <w:ind w:firstLine="708"/>
        <w:jc w:val="both"/>
        <w:rPr>
          <w:rFonts w:ascii="Times New Roman" w:hAnsi="Times New Roman" w:cs="Times New Roman"/>
          <w:sz w:val="24"/>
          <w:szCs w:val="24"/>
        </w:rPr>
      </w:pPr>
      <w:bookmarkStart w:id="3" w:name="OLE_LINK5"/>
      <w:bookmarkStart w:id="4" w:name="OLE_LINK6"/>
      <w:r>
        <w:rPr>
          <w:rFonts w:ascii="Times New Roman" w:hAnsi="Times New Roman" w:cs="Times New Roman"/>
          <w:sz w:val="24"/>
          <w:szCs w:val="24"/>
        </w:rPr>
        <w:t xml:space="preserve">Las condiciones neuropsiquiátricas son la principal causa de Pérdida de </w:t>
      </w:r>
      <w:r w:rsidRPr="00D10389">
        <w:rPr>
          <w:rFonts w:ascii="Times New Roman" w:hAnsi="Times New Roman" w:cs="Times New Roman"/>
          <w:sz w:val="24"/>
          <w:szCs w:val="24"/>
        </w:rPr>
        <w:t>Años de Vida Ajustados por Discapacidad (AVISA)</w:t>
      </w:r>
      <w:r>
        <w:rPr>
          <w:rFonts w:ascii="Times New Roman" w:hAnsi="Times New Roman" w:cs="Times New Roman"/>
          <w:sz w:val="24"/>
          <w:szCs w:val="24"/>
        </w:rPr>
        <w:t xml:space="preserve"> en Chile</w:t>
      </w:r>
      <w:r w:rsidR="0094185E">
        <w:rPr>
          <w:rFonts w:ascii="Times New Roman" w:hAnsi="Times New Roman" w:cs="Times New Roman"/>
          <w:sz w:val="24"/>
          <w:szCs w:val="24"/>
        </w:rPr>
        <w:t xml:space="preserve">, lo que hace prioritario el acceso al tratamiento de este tipo de </w:t>
      </w:r>
      <w:r w:rsidR="00CF2FF4">
        <w:rPr>
          <w:rFonts w:ascii="Times New Roman" w:hAnsi="Times New Roman" w:cs="Times New Roman"/>
          <w:sz w:val="24"/>
          <w:szCs w:val="24"/>
        </w:rPr>
        <w:t xml:space="preserve">patologías. </w:t>
      </w:r>
      <w:r w:rsidR="007836C8">
        <w:rPr>
          <w:rFonts w:ascii="Times New Roman" w:hAnsi="Times New Roman" w:cs="Times New Roman"/>
          <w:sz w:val="24"/>
          <w:szCs w:val="24"/>
        </w:rPr>
        <w:t xml:space="preserve"> En Chile, pocas políticas públicas se han desarrolla con la salud mental como foco, lo que ha llevado a que los índices de sintomatología de tipo mental se mantengan estables y altos durante la última década.  Esta tesis tiene por objetivo </w:t>
      </w:r>
      <w:r w:rsidR="003350DD">
        <w:rPr>
          <w:rFonts w:ascii="Times New Roman" w:hAnsi="Times New Roman" w:cs="Times New Roman"/>
          <w:sz w:val="24"/>
          <w:szCs w:val="24"/>
        </w:rPr>
        <w:t>describir en base a las</w:t>
      </w:r>
      <w:r w:rsidR="007836C8">
        <w:rPr>
          <w:rFonts w:ascii="Times New Roman" w:hAnsi="Times New Roman" w:cs="Times New Roman"/>
          <w:sz w:val="24"/>
          <w:szCs w:val="24"/>
        </w:rPr>
        <w:t xml:space="preserve"> variables sociodemográficas, de sintomatología y de resultado de la terapia </w:t>
      </w:r>
      <w:r w:rsidR="003350DD">
        <w:rPr>
          <w:rFonts w:ascii="Times New Roman" w:hAnsi="Times New Roman" w:cs="Times New Roman"/>
          <w:sz w:val="24"/>
          <w:szCs w:val="24"/>
        </w:rPr>
        <w:t xml:space="preserve">dos muestras de pacientes depresivos atendidos </w:t>
      </w:r>
      <w:r w:rsidR="007836C8">
        <w:rPr>
          <w:rFonts w:ascii="Times New Roman" w:hAnsi="Times New Roman" w:cs="Times New Roman"/>
          <w:sz w:val="24"/>
          <w:szCs w:val="24"/>
        </w:rPr>
        <w:t xml:space="preserve">en instituciones públicas </w:t>
      </w:r>
      <w:r w:rsidR="003350DD">
        <w:rPr>
          <w:rFonts w:ascii="Times New Roman" w:hAnsi="Times New Roman" w:cs="Times New Roman"/>
          <w:sz w:val="24"/>
          <w:szCs w:val="24"/>
        </w:rPr>
        <w:t>y en</w:t>
      </w:r>
      <w:r w:rsidR="007836C8">
        <w:rPr>
          <w:rFonts w:ascii="Times New Roman" w:hAnsi="Times New Roman" w:cs="Times New Roman"/>
          <w:sz w:val="24"/>
          <w:szCs w:val="24"/>
        </w:rPr>
        <w:t xml:space="preserve"> </w:t>
      </w:r>
      <w:r w:rsidR="003350DD">
        <w:rPr>
          <w:rFonts w:ascii="Times New Roman" w:hAnsi="Times New Roman" w:cs="Times New Roman"/>
          <w:sz w:val="24"/>
          <w:szCs w:val="24"/>
        </w:rPr>
        <w:t>centros universitarios</w:t>
      </w:r>
      <w:r w:rsidR="007836C8">
        <w:rPr>
          <w:rFonts w:ascii="Times New Roman" w:hAnsi="Times New Roman" w:cs="Times New Roman"/>
          <w:sz w:val="24"/>
          <w:szCs w:val="24"/>
        </w:rPr>
        <w:t xml:space="preserve">. Para esto, se divide el manuscrito en tres capítulos: uno </w:t>
      </w:r>
      <w:r w:rsidR="003350DD">
        <w:rPr>
          <w:rFonts w:ascii="Times New Roman" w:hAnsi="Times New Roman" w:cs="Times New Roman"/>
          <w:sz w:val="24"/>
          <w:szCs w:val="24"/>
        </w:rPr>
        <w:t xml:space="preserve">introductorio </w:t>
      </w:r>
      <w:r w:rsidR="007836C8">
        <w:rPr>
          <w:rFonts w:ascii="Times New Roman" w:hAnsi="Times New Roman" w:cs="Times New Roman"/>
          <w:sz w:val="24"/>
          <w:szCs w:val="24"/>
        </w:rPr>
        <w:t xml:space="preserve">que resume las políticas públicas asociadas a salud mental, otro que muestra una validación de un instrumento de auto-reporte para la medición de sintomatología depresiva en población chilena y un tercero, que realiza una </w:t>
      </w:r>
      <w:r w:rsidR="003350DD">
        <w:rPr>
          <w:rFonts w:ascii="Times New Roman" w:hAnsi="Times New Roman" w:cs="Times New Roman"/>
          <w:sz w:val="24"/>
          <w:szCs w:val="24"/>
        </w:rPr>
        <w:t>descripción</w:t>
      </w:r>
      <w:r w:rsidR="007836C8">
        <w:rPr>
          <w:rFonts w:ascii="Times New Roman" w:hAnsi="Times New Roman" w:cs="Times New Roman"/>
          <w:sz w:val="24"/>
          <w:szCs w:val="24"/>
        </w:rPr>
        <w:t xml:space="preserve"> </w:t>
      </w:r>
      <w:r w:rsidR="003350DD">
        <w:rPr>
          <w:rFonts w:ascii="Times New Roman" w:hAnsi="Times New Roman" w:cs="Times New Roman"/>
          <w:sz w:val="24"/>
          <w:szCs w:val="24"/>
        </w:rPr>
        <w:t xml:space="preserve">de </w:t>
      </w:r>
      <w:r w:rsidR="007836C8">
        <w:rPr>
          <w:rFonts w:ascii="Times New Roman" w:hAnsi="Times New Roman" w:cs="Times New Roman"/>
          <w:sz w:val="24"/>
          <w:szCs w:val="24"/>
        </w:rPr>
        <w:t xml:space="preserve">pacientes atendidos en instituciones públicas, versus </w:t>
      </w:r>
      <w:r w:rsidR="003350DD">
        <w:rPr>
          <w:rFonts w:ascii="Times New Roman" w:hAnsi="Times New Roman" w:cs="Times New Roman"/>
          <w:sz w:val="24"/>
          <w:szCs w:val="24"/>
        </w:rPr>
        <w:t>centros de atención universitarios</w:t>
      </w:r>
      <w:r w:rsidR="007836C8">
        <w:rPr>
          <w:rFonts w:ascii="Times New Roman" w:hAnsi="Times New Roman" w:cs="Times New Roman"/>
          <w:sz w:val="24"/>
          <w:szCs w:val="24"/>
        </w:rPr>
        <w:t xml:space="preserve">. </w:t>
      </w:r>
    </w:p>
    <w:p w14:paraId="141146B3" w14:textId="4D1222AC" w:rsidR="007836C8" w:rsidRDefault="007836C8" w:rsidP="007836C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t>De estos estudios se puede concluir, que existe un importante déficit en materia del financiamiento de la salud mental en Chile y que los pacientes de l</w:t>
      </w:r>
      <w:r w:rsidR="00E75CC8">
        <w:rPr>
          <w:rFonts w:ascii="Times New Roman" w:hAnsi="Times New Roman" w:cs="Times New Roman"/>
          <w:sz w:val="24"/>
          <w:szCs w:val="24"/>
        </w:rPr>
        <w:t>as muestras de instituciones públicas muestran una menor adherencia al tratamiento. Se proponen finalmente, mejoras que es posible realizar al sistema de salud mental, de manera de robustecerlo y mejorar los niveles de sintomatología en la población.</w:t>
      </w:r>
    </w:p>
    <w:bookmarkEnd w:id="3"/>
    <w:bookmarkEnd w:id="4"/>
    <w:p w14:paraId="14D9D0CD" w14:textId="77777777" w:rsidR="007836C8" w:rsidRDefault="007836C8" w:rsidP="007836C8">
      <w:pPr>
        <w:spacing w:after="0" w:line="240" w:lineRule="auto"/>
        <w:jc w:val="both"/>
        <w:rPr>
          <w:rFonts w:ascii="Times New Roman" w:hAnsi="Times New Roman" w:cs="Times New Roman"/>
          <w:sz w:val="24"/>
          <w:szCs w:val="24"/>
        </w:rPr>
      </w:pPr>
    </w:p>
    <w:p w14:paraId="3C7E8BAE" w14:textId="75D20369" w:rsidR="007836C8" w:rsidRDefault="007836C8" w:rsidP="007836C8">
      <w:pPr>
        <w:spacing w:after="0" w:line="240" w:lineRule="auto"/>
        <w:jc w:val="both"/>
        <w:rPr>
          <w:rFonts w:ascii="Times New Roman" w:hAnsi="Times New Roman" w:cs="Times New Roman"/>
          <w:sz w:val="24"/>
          <w:szCs w:val="24"/>
        </w:rPr>
        <w:sectPr w:rsidR="007836C8" w:rsidSect="00D82978">
          <w:footerReference w:type="default" r:id="rId9"/>
          <w:pgSz w:w="12240" w:h="15840"/>
          <w:pgMar w:top="1417" w:right="1701" w:bottom="1417" w:left="1701" w:header="708" w:footer="708" w:gutter="0"/>
          <w:pgNumType w:start="1"/>
          <w:cols w:space="708"/>
          <w:docGrid w:linePitch="360"/>
        </w:sectPr>
      </w:pPr>
    </w:p>
    <w:p w14:paraId="5A7100D2" w14:textId="5DC1671A" w:rsidR="001D6CCE" w:rsidRDefault="001D6CCE" w:rsidP="001D6CCE">
      <w:pPr>
        <w:jc w:val="center"/>
        <w:rPr>
          <w:rFonts w:ascii="Times New Roman" w:hAnsi="Times New Roman" w:cs="Times New Roman"/>
          <w:b/>
          <w:sz w:val="24"/>
          <w:szCs w:val="24"/>
        </w:rPr>
      </w:pPr>
      <w:r>
        <w:rPr>
          <w:rFonts w:ascii="Times New Roman" w:hAnsi="Times New Roman" w:cs="Times New Roman"/>
          <w:b/>
          <w:sz w:val="24"/>
          <w:szCs w:val="24"/>
        </w:rPr>
        <w:lastRenderedPageBreak/>
        <w:t>Introducción</w:t>
      </w:r>
    </w:p>
    <w:p w14:paraId="221EAB9D" w14:textId="77777777" w:rsidR="00304DB4" w:rsidRDefault="00304DB4" w:rsidP="001D6CCE">
      <w:pPr>
        <w:jc w:val="center"/>
        <w:rPr>
          <w:rFonts w:ascii="Times New Roman" w:hAnsi="Times New Roman" w:cs="Times New Roman"/>
          <w:sz w:val="24"/>
          <w:szCs w:val="24"/>
        </w:rPr>
      </w:pPr>
    </w:p>
    <w:p w14:paraId="4115C571" w14:textId="66A9D642" w:rsidR="00790ACF" w:rsidRDefault="00790ACF" w:rsidP="00BB482B">
      <w:pPr>
        <w:ind w:firstLine="708"/>
        <w:jc w:val="both"/>
        <w:rPr>
          <w:rFonts w:ascii="Times New Roman" w:hAnsi="Times New Roman" w:cs="Times New Roman"/>
          <w:sz w:val="24"/>
          <w:szCs w:val="24"/>
        </w:rPr>
      </w:pPr>
      <w:r>
        <w:rPr>
          <w:rFonts w:ascii="Times New Roman" w:hAnsi="Times New Roman" w:cs="Times New Roman"/>
          <w:sz w:val="24"/>
          <w:szCs w:val="24"/>
        </w:rPr>
        <w:t>En Chile, más de 1,800 personas mueren al año a causa del suicidio</w:t>
      </w:r>
      <w:r w:rsidR="00AB3957">
        <w:rPr>
          <w:rFonts w:ascii="Times New Roman" w:hAnsi="Times New Roman" w:cs="Times New Roman"/>
          <w:sz w:val="24"/>
          <w:szCs w:val="24"/>
        </w:rPr>
        <w:t>, equivalente</w:t>
      </w:r>
      <w:r w:rsidR="004E1279">
        <w:rPr>
          <w:rFonts w:ascii="Times New Roman" w:hAnsi="Times New Roman" w:cs="Times New Roman"/>
          <w:sz w:val="24"/>
          <w:szCs w:val="24"/>
        </w:rPr>
        <w:t xml:space="preserve"> a una tasa de 10,6 suicidios por cada 100.000 habitantes </w:t>
      </w:r>
      <w:r w:rsidR="00AB3957">
        <w:rPr>
          <w:rFonts w:ascii="Times New Roman" w:hAnsi="Times New Roman" w:cs="Times New Roman"/>
          <w:sz w:val="24"/>
          <w:szCs w:val="24"/>
        </w:rPr>
        <w:t xml:space="preserve">(WHO, 2017). </w:t>
      </w:r>
      <w:r>
        <w:rPr>
          <w:rFonts w:ascii="Times New Roman" w:hAnsi="Times New Roman" w:cs="Times New Roman"/>
          <w:sz w:val="24"/>
          <w:szCs w:val="24"/>
        </w:rPr>
        <w:t xml:space="preserve"> </w:t>
      </w:r>
      <w:r w:rsidR="004E1279">
        <w:rPr>
          <w:rFonts w:ascii="Times New Roman" w:hAnsi="Times New Roman" w:cs="Times New Roman"/>
          <w:sz w:val="24"/>
          <w:szCs w:val="24"/>
        </w:rPr>
        <w:t xml:space="preserve">Esta tasa se encuentra muy por sobre el 9,8 encontrado en el continente (WHO, 2017). </w:t>
      </w:r>
      <w:r w:rsidR="00AB3957">
        <w:rPr>
          <w:rFonts w:ascii="Times New Roman" w:hAnsi="Times New Roman" w:cs="Times New Roman"/>
          <w:sz w:val="24"/>
          <w:szCs w:val="24"/>
        </w:rPr>
        <w:t>Por otro lado, las condiciones neuropsiquiátricas corresponden al conjunto de enfermedades que más aporta a los AVISA (Años de Vida Perdidos por Discapacidad)</w:t>
      </w:r>
      <w:r w:rsidR="007369F9">
        <w:rPr>
          <w:rFonts w:ascii="Times New Roman" w:hAnsi="Times New Roman" w:cs="Times New Roman"/>
          <w:sz w:val="24"/>
          <w:szCs w:val="24"/>
        </w:rPr>
        <w:t>.</w:t>
      </w:r>
      <w:r w:rsidR="00EF5F44">
        <w:rPr>
          <w:rFonts w:ascii="Times New Roman" w:hAnsi="Times New Roman" w:cs="Times New Roman"/>
          <w:sz w:val="24"/>
          <w:szCs w:val="24"/>
        </w:rPr>
        <w:t xml:space="preserve"> </w:t>
      </w:r>
      <w:r w:rsidR="00CF2C89">
        <w:rPr>
          <w:rFonts w:ascii="Times New Roman" w:hAnsi="Times New Roman" w:cs="Times New Roman"/>
          <w:sz w:val="24"/>
          <w:szCs w:val="24"/>
        </w:rPr>
        <w:t xml:space="preserve">Todo esto muestra la importancia de desarrollar políticas públicas robustas que promuevan </w:t>
      </w:r>
      <w:r w:rsidR="00651618">
        <w:rPr>
          <w:rFonts w:ascii="Times New Roman" w:hAnsi="Times New Roman" w:cs="Times New Roman"/>
          <w:sz w:val="24"/>
          <w:szCs w:val="24"/>
        </w:rPr>
        <w:t xml:space="preserve">salud mental. </w:t>
      </w:r>
    </w:p>
    <w:p w14:paraId="1C8D815D" w14:textId="0D92FB29" w:rsidR="00651618" w:rsidRDefault="00651618" w:rsidP="00BB482B">
      <w:pPr>
        <w:ind w:firstLine="708"/>
        <w:jc w:val="both"/>
        <w:rPr>
          <w:rFonts w:ascii="Times New Roman" w:hAnsi="Times New Roman" w:cs="Times New Roman"/>
          <w:sz w:val="24"/>
          <w:szCs w:val="24"/>
        </w:rPr>
      </w:pPr>
      <w:r>
        <w:rPr>
          <w:rFonts w:ascii="Times New Roman" w:hAnsi="Times New Roman" w:cs="Times New Roman"/>
          <w:sz w:val="24"/>
          <w:szCs w:val="24"/>
        </w:rPr>
        <w:t xml:space="preserve">Sin embargo, en Chile, las políticas públicas sobre estos temas han estado al debe durante años. El año 2000 se publicó el Plan Nacional de Salud Mental y Psiquiatría (MINSAL, 2000) que establecía objetivos en relación a estos temas, para ser cumplidos en el año 2010. Poco de los objetivos propuestos por dicho plan fueron cumplidos. Por ejemplo, se estableció que el financiamiento de la salud mental alcanzaría un 5%, pero sólo se llegó a un 2,8% para el año 2010. Incluso, poca es la información sobre dicho financiamiento, siendo incluso difícil para el propio Ministerio de Salud, establecer estos porcentajes. </w:t>
      </w:r>
    </w:p>
    <w:p w14:paraId="3D0AACC3" w14:textId="00BE40C0" w:rsidR="00EF5F44" w:rsidRDefault="00651618" w:rsidP="007836C8">
      <w:pPr>
        <w:ind w:firstLine="567"/>
        <w:jc w:val="both"/>
        <w:rPr>
          <w:rFonts w:ascii="Times New Roman" w:hAnsi="Times New Roman" w:cs="Times New Roman"/>
          <w:sz w:val="24"/>
          <w:szCs w:val="24"/>
        </w:rPr>
      </w:pPr>
      <w:r>
        <w:rPr>
          <w:rFonts w:ascii="Times New Roman" w:hAnsi="Times New Roman" w:cs="Times New Roman"/>
          <w:sz w:val="24"/>
          <w:szCs w:val="24"/>
        </w:rPr>
        <w:t xml:space="preserve">Por otro lado, existen en Chile fuertes desigualdades en temas de salud. En el sector público la atención psicológica presenta fuertes retrasos en la primera atención, entre otros problemas que hacen difícil la atención oportuna en múltiples casos. Mientras, en el sector privado, la atención psicológica/psiquiátrica puede verse fuertemente limitada en la cobertura de seguros privados de salud, lo que hace que el costo de bolsillo de estas </w:t>
      </w:r>
      <w:r w:rsidR="007836C8">
        <w:rPr>
          <w:rFonts w:ascii="Times New Roman" w:hAnsi="Times New Roman" w:cs="Times New Roman"/>
          <w:sz w:val="24"/>
          <w:szCs w:val="24"/>
        </w:rPr>
        <w:t xml:space="preserve">atenciones sea particularmente alto. En este contexto, parece oportuno estudiar los medios para robustecer las políticas públicas relacionadas con la salud mental y evaluar las diferencias que se presentan entre pacientes atendidos por instituciones públicas en relación a pacientes de instituciones privadas. </w:t>
      </w:r>
    </w:p>
    <w:p w14:paraId="109A01F6" w14:textId="620DA8E8" w:rsidR="005C6035" w:rsidRDefault="001D6CCE" w:rsidP="00FE3E2A">
      <w:pPr>
        <w:ind w:firstLine="360"/>
        <w:jc w:val="both"/>
        <w:rPr>
          <w:rFonts w:ascii="Times New Roman" w:hAnsi="Times New Roman" w:cs="Times New Roman"/>
          <w:sz w:val="24"/>
          <w:szCs w:val="24"/>
        </w:rPr>
      </w:pPr>
      <w:r>
        <w:rPr>
          <w:rFonts w:ascii="Times New Roman" w:hAnsi="Times New Roman" w:cs="Times New Roman"/>
          <w:sz w:val="24"/>
          <w:szCs w:val="24"/>
        </w:rPr>
        <w:t xml:space="preserve">Esta tesis tiene por objetivo general caracterizar el actual sistema público comparándolo con el sistema privado de </w:t>
      </w:r>
      <w:r w:rsidR="005C6035">
        <w:rPr>
          <w:rFonts w:ascii="Times New Roman" w:hAnsi="Times New Roman" w:cs="Times New Roman"/>
          <w:sz w:val="24"/>
          <w:szCs w:val="24"/>
        </w:rPr>
        <w:t>salud mental y evaluando posibles mejoras que implementarse. Para esto, se han propuesto los siguientes objetivos específicos:</w:t>
      </w:r>
    </w:p>
    <w:p w14:paraId="2305C848" w14:textId="77777777" w:rsidR="005C6035" w:rsidRDefault="005C6035" w:rsidP="005C6035">
      <w:pPr>
        <w:pStyle w:val="Prrafodelista"/>
        <w:numPr>
          <w:ilvl w:val="0"/>
          <w:numId w:val="3"/>
        </w:numPr>
        <w:jc w:val="both"/>
        <w:rPr>
          <w:rFonts w:ascii="Times New Roman" w:hAnsi="Times New Roman" w:cs="Times New Roman"/>
          <w:sz w:val="24"/>
          <w:szCs w:val="24"/>
        </w:rPr>
      </w:pPr>
      <w:r>
        <w:rPr>
          <w:rFonts w:ascii="Times New Roman" w:hAnsi="Times New Roman" w:cs="Times New Roman"/>
          <w:sz w:val="24"/>
          <w:szCs w:val="24"/>
        </w:rPr>
        <w:t>Realizar una revisión de las políticas públicas asociadas a la salud mental implementadas en los últimos años.</w:t>
      </w:r>
    </w:p>
    <w:p w14:paraId="5B9F0C15" w14:textId="77777777" w:rsidR="0052023B" w:rsidRDefault="0052023B" w:rsidP="005C6035">
      <w:pPr>
        <w:pStyle w:val="Prrafodelista"/>
        <w:numPr>
          <w:ilvl w:val="0"/>
          <w:numId w:val="3"/>
        </w:numPr>
        <w:jc w:val="both"/>
        <w:rPr>
          <w:rFonts w:ascii="Times New Roman" w:hAnsi="Times New Roman" w:cs="Times New Roman"/>
          <w:sz w:val="24"/>
          <w:szCs w:val="24"/>
        </w:rPr>
      </w:pPr>
      <w:r>
        <w:rPr>
          <w:rFonts w:ascii="Times New Roman" w:hAnsi="Times New Roman" w:cs="Times New Roman"/>
          <w:sz w:val="24"/>
          <w:szCs w:val="24"/>
        </w:rPr>
        <w:t>Validar un instrumento de auto-reporte que permita identificar personas con alta sintomatología depresiva, tanto para uso como screening en la clínica, como para uso en avientes de investigación.</w:t>
      </w:r>
    </w:p>
    <w:p w14:paraId="48004F9F" w14:textId="44AC22BB" w:rsidR="00EF5F44" w:rsidRPr="0067788B" w:rsidRDefault="00B07E71" w:rsidP="0067788B">
      <w:pPr>
        <w:pStyle w:val="Prrafodelista"/>
        <w:numPr>
          <w:ilvl w:val="0"/>
          <w:numId w:val="3"/>
        </w:numPr>
        <w:jc w:val="both"/>
        <w:rPr>
          <w:rFonts w:ascii="Times New Roman" w:hAnsi="Times New Roman" w:cs="Times New Roman"/>
          <w:sz w:val="24"/>
          <w:szCs w:val="24"/>
        </w:rPr>
      </w:pPr>
      <w:r>
        <w:rPr>
          <w:rFonts w:ascii="Times New Roman" w:hAnsi="Times New Roman" w:cs="Times New Roman"/>
          <w:sz w:val="24"/>
          <w:szCs w:val="24"/>
        </w:rPr>
        <w:t>Describir</w:t>
      </w:r>
      <w:r w:rsidR="0052023B">
        <w:rPr>
          <w:rFonts w:ascii="Times New Roman" w:hAnsi="Times New Roman" w:cs="Times New Roman"/>
          <w:sz w:val="24"/>
          <w:szCs w:val="24"/>
        </w:rPr>
        <w:t xml:space="preserve"> las </w:t>
      </w:r>
      <w:r>
        <w:rPr>
          <w:rFonts w:ascii="Times New Roman" w:hAnsi="Times New Roman" w:cs="Times New Roman"/>
          <w:sz w:val="24"/>
          <w:szCs w:val="24"/>
        </w:rPr>
        <w:t xml:space="preserve">características de </w:t>
      </w:r>
      <w:r w:rsidR="0052023B">
        <w:rPr>
          <w:rFonts w:ascii="Times New Roman" w:hAnsi="Times New Roman" w:cs="Times New Roman"/>
          <w:sz w:val="24"/>
          <w:szCs w:val="24"/>
        </w:rPr>
        <w:t>pacientes depresivos que asisten a terapia en instituciones públicas (</w:t>
      </w:r>
      <w:proofErr w:type="spellStart"/>
      <w:r w:rsidR="0052023B">
        <w:rPr>
          <w:rFonts w:ascii="Times New Roman" w:hAnsi="Times New Roman" w:cs="Times New Roman"/>
          <w:sz w:val="24"/>
          <w:szCs w:val="24"/>
        </w:rPr>
        <w:t>COSAMs</w:t>
      </w:r>
      <w:proofErr w:type="spellEnd"/>
      <w:r w:rsidR="0052023B">
        <w:rPr>
          <w:rFonts w:ascii="Times New Roman" w:hAnsi="Times New Roman" w:cs="Times New Roman"/>
          <w:sz w:val="24"/>
          <w:szCs w:val="24"/>
        </w:rPr>
        <w:t>) y en instituciones privadas (Centros Universitarios)</w:t>
      </w:r>
      <w:r w:rsidR="0066045B">
        <w:rPr>
          <w:rFonts w:ascii="Times New Roman" w:hAnsi="Times New Roman" w:cs="Times New Roman"/>
          <w:sz w:val="24"/>
          <w:szCs w:val="24"/>
        </w:rPr>
        <w:t xml:space="preserve"> en cuanto a características sociodemográficas, características clínicas iniciales y variables asociadas a los resultados de la terapia. </w:t>
      </w:r>
    </w:p>
    <w:p w14:paraId="2BBB6645" w14:textId="1E008C41" w:rsidR="00EF5F44" w:rsidRDefault="0067788B" w:rsidP="00FE3E2A">
      <w:pPr>
        <w:ind w:firstLine="348"/>
        <w:jc w:val="both"/>
        <w:rPr>
          <w:rFonts w:ascii="Times New Roman" w:hAnsi="Times New Roman" w:cs="Times New Roman"/>
          <w:sz w:val="24"/>
          <w:szCs w:val="24"/>
        </w:rPr>
      </w:pPr>
      <w:r>
        <w:rPr>
          <w:rFonts w:ascii="Times New Roman" w:hAnsi="Times New Roman" w:cs="Times New Roman"/>
          <w:sz w:val="24"/>
          <w:szCs w:val="24"/>
        </w:rPr>
        <w:lastRenderedPageBreak/>
        <w:t>Para desarrollas estos objetivos, este manuscrito</w:t>
      </w:r>
      <w:r w:rsidR="00EF5F44">
        <w:rPr>
          <w:rFonts w:ascii="Times New Roman" w:hAnsi="Times New Roman" w:cs="Times New Roman"/>
          <w:sz w:val="24"/>
          <w:szCs w:val="24"/>
        </w:rPr>
        <w:t xml:space="preserve"> consta de </w:t>
      </w:r>
      <w:r w:rsidR="00C417AC">
        <w:rPr>
          <w:rFonts w:ascii="Times New Roman" w:hAnsi="Times New Roman" w:cs="Times New Roman"/>
          <w:sz w:val="24"/>
          <w:szCs w:val="24"/>
        </w:rPr>
        <w:t xml:space="preserve">tres capítulos. El primer capítulo corresponde a una </w:t>
      </w:r>
      <w:r w:rsidR="00B07E71">
        <w:rPr>
          <w:rFonts w:ascii="Times New Roman" w:hAnsi="Times New Roman" w:cs="Times New Roman"/>
          <w:sz w:val="24"/>
          <w:szCs w:val="24"/>
        </w:rPr>
        <w:t xml:space="preserve">introducción donde se resumen </w:t>
      </w:r>
      <w:r w:rsidR="00C417AC">
        <w:rPr>
          <w:rFonts w:ascii="Times New Roman" w:hAnsi="Times New Roman" w:cs="Times New Roman"/>
          <w:sz w:val="24"/>
          <w:szCs w:val="24"/>
        </w:rPr>
        <w:t xml:space="preserve">las políticas públicas asociadas a la salud mental, resaltando la diferencia en el financiamiento que reciben la salud física versus la salud mental. Se revisan el Plan Nacional de Salud Mental y Psiquiatría del año 2000, junto con políticas como el Plan de Garantías Explícitas de Salud (GES) y la incorporación de patologías de orden de la salud mental. Se incluye un anexo a esta revisión, con el fin de actualizar al lector en políticas públicas relacionadas con salud mental, que han sido implementadas luego de </w:t>
      </w:r>
      <w:r w:rsidR="00FE3E2A">
        <w:rPr>
          <w:rFonts w:ascii="Times New Roman" w:hAnsi="Times New Roman" w:cs="Times New Roman"/>
          <w:sz w:val="24"/>
          <w:szCs w:val="24"/>
        </w:rPr>
        <w:t xml:space="preserve">la publicación de dicho manuscrito. </w:t>
      </w:r>
    </w:p>
    <w:p w14:paraId="0DD23D27" w14:textId="54A3F65A" w:rsidR="00FE3E2A" w:rsidRDefault="00FE3E2A" w:rsidP="00FE3E2A">
      <w:pPr>
        <w:ind w:firstLine="348"/>
        <w:jc w:val="both"/>
        <w:rPr>
          <w:rFonts w:ascii="Times New Roman" w:hAnsi="Times New Roman" w:cs="Times New Roman"/>
          <w:sz w:val="24"/>
          <w:szCs w:val="24"/>
        </w:rPr>
      </w:pPr>
      <w:r>
        <w:rPr>
          <w:rFonts w:ascii="Times New Roman" w:hAnsi="Times New Roman" w:cs="Times New Roman"/>
          <w:sz w:val="24"/>
          <w:szCs w:val="24"/>
        </w:rPr>
        <w:t xml:space="preserve">En el segundo capítulo, se presenta la validación en población chilena del instrumento Inventario de Depresión de Beck IA. Este instrumento corresponde a un cuestionario de auto-reporte de 21 ítems que incluyen diversos síntomas depresivos en una escala </w:t>
      </w:r>
      <w:proofErr w:type="spellStart"/>
      <w:r>
        <w:rPr>
          <w:rFonts w:ascii="Times New Roman" w:hAnsi="Times New Roman" w:cs="Times New Roman"/>
          <w:sz w:val="24"/>
          <w:szCs w:val="24"/>
        </w:rPr>
        <w:t>lickert</w:t>
      </w:r>
      <w:proofErr w:type="spellEnd"/>
      <w:r>
        <w:rPr>
          <w:rFonts w:ascii="Times New Roman" w:hAnsi="Times New Roman" w:cs="Times New Roman"/>
          <w:sz w:val="24"/>
          <w:szCs w:val="24"/>
        </w:rPr>
        <w:t xml:space="preserve"> de 0 a 3 puntos. En esta validación se realizan análisis para establecer puntajes de corte para distinguir entre población con patología conocida y sin patología conocida. De esta manera, el instrumento, que puede ser utilizado de forma gratuita y rápida y fácil, podría ser un aporte, tanto en la clínica, pudiendo ser utilizado como instrumento de screening en población de riesgo, como en la investigación en relación a </w:t>
      </w:r>
      <w:r w:rsidR="00BC1D48">
        <w:rPr>
          <w:rFonts w:ascii="Times New Roman" w:hAnsi="Times New Roman" w:cs="Times New Roman"/>
          <w:sz w:val="24"/>
          <w:szCs w:val="24"/>
        </w:rPr>
        <w:t>los niveles de sintomatología depresiva en la población.</w:t>
      </w:r>
    </w:p>
    <w:p w14:paraId="312ED0A2" w14:textId="2CABD38B" w:rsidR="00BC1D48" w:rsidRDefault="00BC1D48" w:rsidP="00FE3E2A">
      <w:pPr>
        <w:ind w:firstLine="348"/>
        <w:jc w:val="both"/>
        <w:rPr>
          <w:rFonts w:ascii="Times New Roman" w:hAnsi="Times New Roman" w:cs="Times New Roman"/>
          <w:sz w:val="24"/>
          <w:szCs w:val="24"/>
        </w:rPr>
      </w:pPr>
      <w:r>
        <w:rPr>
          <w:rFonts w:ascii="Times New Roman" w:hAnsi="Times New Roman" w:cs="Times New Roman"/>
          <w:sz w:val="24"/>
          <w:szCs w:val="24"/>
        </w:rPr>
        <w:t xml:space="preserve">El último capítulo constituye un estudio </w:t>
      </w:r>
      <w:r w:rsidR="0067788B">
        <w:rPr>
          <w:rFonts w:ascii="Times New Roman" w:hAnsi="Times New Roman" w:cs="Times New Roman"/>
          <w:sz w:val="24"/>
          <w:szCs w:val="24"/>
        </w:rPr>
        <w:t xml:space="preserve">observacional y longitudinal, </w:t>
      </w:r>
      <w:r>
        <w:rPr>
          <w:rFonts w:ascii="Times New Roman" w:hAnsi="Times New Roman" w:cs="Times New Roman"/>
          <w:sz w:val="24"/>
          <w:szCs w:val="24"/>
        </w:rPr>
        <w:t xml:space="preserve">de </w:t>
      </w:r>
      <w:r w:rsidR="00B07E71">
        <w:rPr>
          <w:rFonts w:ascii="Times New Roman" w:hAnsi="Times New Roman" w:cs="Times New Roman"/>
          <w:sz w:val="24"/>
          <w:szCs w:val="24"/>
        </w:rPr>
        <w:t>descripción</w:t>
      </w:r>
      <w:r>
        <w:rPr>
          <w:rFonts w:ascii="Times New Roman" w:hAnsi="Times New Roman" w:cs="Times New Roman"/>
          <w:sz w:val="24"/>
          <w:szCs w:val="24"/>
        </w:rPr>
        <w:t xml:space="preserve"> de las características sociodemográficas, psicológicas y de resultado de la terapia entre dos muestras: una de pacientes con depresión atendidos en instituciones públicas y otra de pacientes atendidos en instituciones privadas. </w:t>
      </w:r>
      <w:r w:rsidR="0067788B">
        <w:rPr>
          <w:rFonts w:ascii="Times New Roman" w:hAnsi="Times New Roman" w:cs="Times New Roman"/>
          <w:sz w:val="24"/>
          <w:szCs w:val="24"/>
        </w:rPr>
        <w:t xml:space="preserve">La muestra de instituciones públicas consistió en pacientes con diagnóstico de trastorno depresivo, que se atendieron en cinco </w:t>
      </w:r>
      <w:proofErr w:type="spellStart"/>
      <w:r w:rsidR="0067788B">
        <w:rPr>
          <w:rFonts w:ascii="Times New Roman" w:hAnsi="Times New Roman" w:cs="Times New Roman"/>
          <w:sz w:val="24"/>
          <w:szCs w:val="24"/>
        </w:rPr>
        <w:t>COSAMs</w:t>
      </w:r>
      <w:proofErr w:type="spellEnd"/>
      <w:r w:rsidR="0067788B">
        <w:rPr>
          <w:rFonts w:ascii="Times New Roman" w:hAnsi="Times New Roman" w:cs="Times New Roman"/>
          <w:sz w:val="24"/>
          <w:szCs w:val="24"/>
        </w:rPr>
        <w:t xml:space="preserve"> de la Región Metropolitana. La muestra de instituciones privadas corresponde a pacientes atendidos por trastorno depresivo en dos centros universitarios</w:t>
      </w:r>
      <w:r w:rsidR="008909A9">
        <w:rPr>
          <w:rFonts w:ascii="Times New Roman" w:hAnsi="Times New Roman" w:cs="Times New Roman"/>
          <w:sz w:val="24"/>
          <w:szCs w:val="24"/>
        </w:rPr>
        <w:t xml:space="preserve"> de atención psicológica. </w:t>
      </w:r>
    </w:p>
    <w:p w14:paraId="554386B0" w14:textId="4FA2FDF1" w:rsidR="00D82978" w:rsidRDefault="0067788B" w:rsidP="00D82978">
      <w:pPr>
        <w:ind w:firstLine="348"/>
        <w:jc w:val="both"/>
        <w:rPr>
          <w:rFonts w:ascii="Times New Roman" w:hAnsi="Times New Roman" w:cs="Times New Roman"/>
          <w:sz w:val="24"/>
          <w:szCs w:val="24"/>
        </w:rPr>
      </w:pPr>
      <w:r>
        <w:rPr>
          <w:rFonts w:ascii="Times New Roman" w:hAnsi="Times New Roman" w:cs="Times New Roman"/>
          <w:sz w:val="24"/>
          <w:szCs w:val="24"/>
        </w:rPr>
        <w:t xml:space="preserve">Se finaliza el documento con unas conclusiones finales, donde se </w:t>
      </w:r>
      <w:r w:rsidR="008909A9">
        <w:rPr>
          <w:rFonts w:ascii="Times New Roman" w:hAnsi="Times New Roman" w:cs="Times New Roman"/>
          <w:sz w:val="24"/>
          <w:szCs w:val="24"/>
        </w:rPr>
        <w:t>realizan sugerencias basadas en las revisiones y estudios realizados para mejorar las políticas públicas asociadas a la salud mental.</w:t>
      </w:r>
    </w:p>
    <w:p w14:paraId="3AF4F0A6" w14:textId="77777777" w:rsidR="00D82978" w:rsidRDefault="00D82978">
      <w:pPr>
        <w:rPr>
          <w:rFonts w:ascii="Times New Roman" w:hAnsi="Times New Roman" w:cs="Times New Roman"/>
          <w:sz w:val="24"/>
          <w:szCs w:val="24"/>
        </w:rPr>
      </w:pPr>
      <w:r>
        <w:rPr>
          <w:rFonts w:ascii="Times New Roman" w:hAnsi="Times New Roman" w:cs="Times New Roman"/>
          <w:sz w:val="24"/>
          <w:szCs w:val="24"/>
        </w:rPr>
        <w:br w:type="page"/>
      </w:r>
    </w:p>
    <w:p w14:paraId="611DCF35" w14:textId="77777777" w:rsidR="00E7031B" w:rsidRDefault="00E7031B" w:rsidP="00D82978">
      <w:pPr>
        <w:ind w:firstLine="348"/>
        <w:jc w:val="both"/>
        <w:rPr>
          <w:rFonts w:ascii="Times New Roman" w:hAnsi="Times New Roman" w:cs="Times New Roman"/>
          <w:sz w:val="24"/>
          <w:szCs w:val="24"/>
        </w:rPr>
      </w:pPr>
    </w:p>
    <w:p w14:paraId="74CCF72A" w14:textId="77777777" w:rsidR="00A61758" w:rsidRDefault="00CA2328" w:rsidP="00A61758">
      <w:pPr>
        <w:spacing w:line="360" w:lineRule="auto"/>
        <w:jc w:val="center"/>
        <w:rPr>
          <w:rFonts w:ascii="Times New Roman" w:hAnsi="Times New Roman"/>
          <w:b/>
          <w:sz w:val="24"/>
          <w:szCs w:val="24"/>
        </w:rPr>
      </w:pPr>
      <w:r w:rsidRPr="002B6696">
        <w:rPr>
          <w:rFonts w:ascii="Times New Roman" w:hAnsi="Times New Roman"/>
          <w:b/>
          <w:sz w:val="24"/>
          <w:szCs w:val="24"/>
        </w:rPr>
        <w:t>Capítulo I</w:t>
      </w:r>
    </w:p>
    <w:p w14:paraId="4C0C70CC" w14:textId="69C63ADC" w:rsidR="00CA2328" w:rsidRPr="002B6696" w:rsidRDefault="00CA2328" w:rsidP="00A61758">
      <w:pPr>
        <w:spacing w:line="360" w:lineRule="auto"/>
        <w:jc w:val="center"/>
        <w:rPr>
          <w:rFonts w:ascii="Times New Roman" w:hAnsi="Times New Roman"/>
          <w:b/>
          <w:sz w:val="24"/>
          <w:szCs w:val="24"/>
        </w:rPr>
      </w:pPr>
      <w:r w:rsidRPr="002B6696">
        <w:rPr>
          <w:rFonts w:ascii="Times New Roman" w:hAnsi="Times New Roman"/>
          <w:b/>
          <w:sz w:val="24"/>
          <w:szCs w:val="24"/>
        </w:rPr>
        <w:t xml:space="preserve"> Financiamiento de la Salud Mental en Chile: Una Deuda Pendiente</w:t>
      </w:r>
    </w:p>
    <w:p w14:paraId="348BA1A4" w14:textId="7CDFA51A" w:rsidR="00B07E71" w:rsidRPr="00B07E71" w:rsidRDefault="00B07E71" w:rsidP="00B07E71">
      <w:pPr>
        <w:spacing w:line="360" w:lineRule="auto"/>
        <w:ind w:firstLine="708"/>
        <w:jc w:val="center"/>
        <w:rPr>
          <w:rFonts w:ascii="Times New Roman" w:hAnsi="Times New Roman"/>
          <w:sz w:val="24"/>
          <w:szCs w:val="24"/>
        </w:rPr>
      </w:pPr>
      <w:r w:rsidRPr="00B07E71">
        <w:rPr>
          <w:rFonts w:ascii="Times New Roman" w:hAnsi="Times New Roman"/>
          <w:sz w:val="24"/>
          <w:szCs w:val="24"/>
        </w:rPr>
        <w:t xml:space="preserve">Errázuriz, P., Valdés, C., </w:t>
      </w:r>
      <w:proofErr w:type="spellStart"/>
      <w:r w:rsidRPr="00B07E71">
        <w:rPr>
          <w:rFonts w:ascii="Times New Roman" w:hAnsi="Times New Roman"/>
          <w:sz w:val="24"/>
          <w:szCs w:val="24"/>
        </w:rPr>
        <w:t>Vohringer</w:t>
      </w:r>
      <w:proofErr w:type="spellEnd"/>
      <w:r w:rsidRPr="00B07E71">
        <w:rPr>
          <w:rFonts w:ascii="Times New Roman" w:hAnsi="Times New Roman"/>
          <w:sz w:val="24"/>
          <w:szCs w:val="24"/>
        </w:rPr>
        <w:t>, P., Calvo, E.</w:t>
      </w:r>
    </w:p>
    <w:p w14:paraId="14500DA4" w14:textId="1611663B" w:rsidR="00CA2328" w:rsidRPr="002B6696" w:rsidRDefault="002B6696" w:rsidP="00A61758">
      <w:pPr>
        <w:spacing w:line="360" w:lineRule="auto"/>
        <w:jc w:val="center"/>
        <w:rPr>
          <w:rFonts w:ascii="Times New Roman" w:hAnsi="Times New Roman"/>
          <w:i/>
          <w:sz w:val="24"/>
          <w:szCs w:val="24"/>
        </w:rPr>
      </w:pPr>
      <w:r w:rsidRPr="002B6696">
        <w:rPr>
          <w:rFonts w:ascii="Times New Roman" w:hAnsi="Times New Roman"/>
          <w:i/>
          <w:sz w:val="24"/>
          <w:szCs w:val="24"/>
        </w:rPr>
        <w:t>Publicado en la Revista Médica Chilena</w:t>
      </w:r>
    </w:p>
    <w:p w14:paraId="5E2803A6" w14:textId="77777777" w:rsidR="00CA2328" w:rsidRDefault="00CA2328" w:rsidP="00653E90">
      <w:pPr>
        <w:spacing w:line="360" w:lineRule="auto"/>
        <w:rPr>
          <w:rFonts w:ascii="Times New Roman" w:hAnsi="Times New Roman"/>
          <w:sz w:val="24"/>
          <w:szCs w:val="24"/>
        </w:rPr>
      </w:pPr>
    </w:p>
    <w:p w14:paraId="4020E48D" w14:textId="77777777" w:rsidR="00653E90" w:rsidRDefault="00653E90" w:rsidP="00BB482B">
      <w:pPr>
        <w:spacing w:line="360" w:lineRule="auto"/>
        <w:ind w:firstLine="708"/>
        <w:jc w:val="both"/>
        <w:rPr>
          <w:rFonts w:ascii="Times New Roman" w:hAnsi="Times New Roman"/>
          <w:sz w:val="24"/>
          <w:szCs w:val="24"/>
          <w:highlight w:val="yellow"/>
        </w:rPr>
      </w:pPr>
      <w:r>
        <w:rPr>
          <w:rFonts w:ascii="Times New Roman" w:hAnsi="Times New Roman"/>
          <w:sz w:val="24"/>
          <w:szCs w:val="24"/>
        </w:rPr>
        <w:t xml:space="preserve">Chile es un país con altas tasas de enfermedades mentales, cuyos costos directos e indirectos afectan negativamente a los individuos que las padecen, sus familias y la sociedad en su conjunto, por ejemplo, aumentando los costos y usos de los servicios generales de salud. Si bien el Ministerio de Salud ha reconocido crecientemente la relevancia de los problemas de salud mental, el financiamiento de la salud mental no ha aumentado según los objetivos propuestos y los planes de salud mental implementados en la última década aún no han logrado reducir las altas tasas de enfermedades mentales. </w:t>
      </w:r>
    </w:p>
    <w:p w14:paraId="48ECC89E" w14:textId="59942FCD" w:rsidR="00653E90" w:rsidRDefault="00653E90" w:rsidP="002B6696">
      <w:pPr>
        <w:spacing w:line="360" w:lineRule="auto"/>
        <w:ind w:firstLine="720"/>
        <w:jc w:val="both"/>
        <w:rPr>
          <w:rFonts w:ascii="Times New Roman" w:hAnsi="Times New Roman"/>
          <w:sz w:val="24"/>
          <w:szCs w:val="24"/>
        </w:rPr>
      </w:pPr>
      <w:r>
        <w:rPr>
          <w:rFonts w:ascii="Times New Roman" w:hAnsi="Times New Roman"/>
          <w:sz w:val="24"/>
          <w:szCs w:val="24"/>
        </w:rPr>
        <w:t xml:space="preserve">Las enfermedades psiquiátricas son un factor de riesgo para la conducta suicida </w:t>
      </w:r>
      <w:r>
        <w:rPr>
          <w:rFonts w:ascii="Times New Roman" w:hAnsi="Times New Roman"/>
          <w:sz w:val="24"/>
          <w:szCs w:val="24"/>
        </w:rPr>
        <w:fldChar w:fldCharType="begin"/>
      </w:r>
      <w:r>
        <w:rPr>
          <w:rFonts w:ascii="Times New Roman" w:hAnsi="Times New Roman"/>
          <w:sz w:val="24"/>
          <w:szCs w:val="24"/>
        </w:rPr>
        <w:instrText xml:space="preserve"> ADDIN EN.CITE &lt;EndNote&gt;&lt;Cite&gt;&lt;Author&gt;Bertolote&lt;/Author&gt;&lt;Year&gt;2002&lt;/Year&gt;&lt;RecNum&gt;117&lt;/RecNum&gt;&lt;DisplayText&gt;(3, 4)&lt;/DisplayText&gt;&lt;record&gt;&lt;rec-number&gt;117&lt;/rec-number&gt;&lt;foreign-keys&gt;&lt;key app="EN" db-id="z0s9dzezletx2iepw53pdewxrx9ezfp0x0ed" timestamp="1406651403"&gt;117&lt;/key&gt;&lt;/foreign-keys&gt;&lt;ref-type name="Journal Article"&gt;17&lt;/ref-type&gt;&lt;contributors&gt;&lt;authors&gt;&lt;author&gt;Bertolote, JM&lt;/author&gt;&lt;author&gt;Fleischmann, A&lt;/author&gt;&lt;/authors&gt;&lt;/contributors&gt;&lt;titles&gt;&lt;title&gt;Suicide and psyquiatric diagnosis: a worldwide perspective&lt;/title&gt;&lt;secondary-title&gt;World Psychiatry&lt;/secondary-title&gt;&lt;/titles&gt;&lt;periodical&gt;&lt;full-title&gt;World Psychiatry&lt;/full-title&gt;&lt;/periodical&gt;&lt;pages&gt;181-185&lt;/pages&gt;&lt;volume&gt;1&lt;/volume&gt;&lt;number&gt;3&lt;/number&gt;&lt;dates&gt;&lt;year&gt;2002&lt;/year&gt;&lt;/dates&gt;&lt;urls&gt;&lt;/urls&gt;&lt;/record&gt;&lt;/Cite&gt;&lt;Cite&gt;&lt;Author&gt;Retamal&lt;/Author&gt;&lt;Year&gt;2010&lt;/Year&gt;&lt;RecNum&gt;118&lt;/RecNum&gt;&lt;record&gt;&lt;rec-number&gt;118&lt;/rec-number&gt;&lt;foreign-keys&gt;&lt;key app="EN" db-id="z0s9dzezletx2iepw53pdewxrx9ezfp0x0ed" timestamp="1406651573"&gt;118&lt;/key&gt;&lt;/foreign-keys&gt;&lt;ref-type name="Journal Article"&gt;17&lt;/ref-type&gt;&lt;contributors&gt;&lt;authors&gt;&lt;author&gt;Retamal, P&lt;/author&gt;&lt;author&gt;Luego, J&lt;/author&gt;&lt;author&gt;Trebilcock, JJ&lt;/author&gt;&lt;/authors&gt;&lt;/contributors&gt;&lt;titles&gt;&lt;title&gt;Epidemiología del suicidio en Chile&lt;/title&gt;&lt;secondary-title&gt;Acta Med CSM&lt;/secondary-title&gt;&lt;/titles&gt;&lt;periodical&gt;&lt;full-title&gt;Acta Med CSM&lt;/full-title&gt;&lt;/periodical&gt;&lt;pages&gt;13-21&lt;/pages&gt;&lt;volume&gt;4&lt;/volume&gt;&lt;number&gt;1&lt;/number&gt;&lt;dates&gt;&lt;year&gt;2010&lt;/year&gt;&lt;/dates&gt;&lt;urls&gt;&lt;/urls&gt;&lt;/record&gt;&lt;/Cite&gt;&lt;/EndNote&gt;</w:instrText>
      </w:r>
      <w:r>
        <w:rPr>
          <w:rFonts w:ascii="Times New Roman" w:hAnsi="Times New Roman"/>
          <w:sz w:val="24"/>
          <w:szCs w:val="24"/>
        </w:rPr>
        <w:fldChar w:fldCharType="separate"/>
      </w:r>
      <w:r>
        <w:rPr>
          <w:rFonts w:ascii="Times New Roman" w:hAnsi="Times New Roman"/>
          <w:noProof/>
          <w:sz w:val="24"/>
          <w:szCs w:val="24"/>
        </w:rPr>
        <w:t>(</w:t>
      </w:r>
      <w:r w:rsidR="009B10DD">
        <w:rPr>
          <w:rFonts w:ascii="Times New Roman" w:hAnsi="Times New Roman"/>
          <w:noProof/>
          <w:sz w:val="24"/>
          <w:szCs w:val="24"/>
        </w:rPr>
        <w:t>Bertolote &amp; Fleischmann, 2002; Retamal, Luego &amp; Trebilcock, 2010</w:t>
      </w:r>
      <w:r>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xml:space="preserve">.  A nivel mundial, la Organización Mundial de la Salud estimó en 1998 que al suicidio correspondería a un 1,8% de la carga mundial de enfermedades, esperando que aumente a 2,4% para el año 2020 </w:t>
      </w:r>
      <w:r>
        <w:rPr>
          <w:rFonts w:ascii="Times New Roman" w:hAnsi="Times New Roman"/>
          <w:sz w:val="24"/>
          <w:szCs w:val="24"/>
        </w:rPr>
        <w:fldChar w:fldCharType="begin"/>
      </w:r>
      <w:r>
        <w:rPr>
          <w:rFonts w:ascii="Times New Roman" w:hAnsi="Times New Roman"/>
          <w:sz w:val="24"/>
          <w:szCs w:val="24"/>
        </w:rPr>
        <w:instrText xml:space="preserve"> ADDIN EN.CITE &lt;EndNote&gt;&lt;Cite&gt;&lt;Author&gt;Bertolote&lt;/Author&gt;&lt;Year&gt;2002&lt;/Year&gt;&lt;RecNum&gt;117&lt;/RecNum&gt;&lt;DisplayText&gt;(3)&lt;/DisplayText&gt;&lt;record&gt;&lt;rec-number&gt;117&lt;/rec-number&gt;&lt;foreign-keys&gt;&lt;key app="EN" db-id="z0s9dzezletx2iepw53pdewxrx9ezfp0x0ed" timestamp="1406651403"&gt;117&lt;/key&gt;&lt;/foreign-keys&gt;&lt;ref-type name="Journal Article"&gt;17&lt;/ref-type&gt;&lt;contributors&gt;&lt;authors&gt;&lt;author&gt;Bertolote, JM&lt;/author&gt;&lt;author&gt;Fleischmann, A&lt;/author&gt;&lt;/authors&gt;&lt;/contributors&gt;&lt;titles&gt;&lt;title&gt;Suicide and psyquiatric diagnosis: a worldwide perspective&lt;/title&gt;&lt;secondary-title&gt;World Psychiatry&lt;/secondary-title&gt;&lt;/titles&gt;&lt;periodical&gt;&lt;full-title&gt;World Psychiatry&lt;/full-title&gt;&lt;/periodical&gt;&lt;pages&gt;181-185&lt;/pages&gt;&lt;volume&gt;1&lt;/volume&gt;&lt;number&gt;3&lt;/number&gt;&lt;dates&gt;&lt;year&gt;2002&lt;/year&gt;&lt;/dates&gt;&lt;urls&gt;&lt;/urls&gt;&lt;/record&gt;&lt;/Cite&gt;&lt;/EndNote&gt;</w:instrText>
      </w:r>
      <w:r>
        <w:rPr>
          <w:rFonts w:ascii="Times New Roman" w:hAnsi="Times New Roman"/>
          <w:sz w:val="24"/>
          <w:szCs w:val="24"/>
        </w:rPr>
        <w:fldChar w:fldCharType="separate"/>
      </w:r>
      <w:r>
        <w:rPr>
          <w:rFonts w:ascii="Times New Roman" w:hAnsi="Times New Roman"/>
          <w:noProof/>
          <w:sz w:val="24"/>
          <w:szCs w:val="24"/>
        </w:rPr>
        <w:t>(</w:t>
      </w:r>
      <w:r w:rsidR="009B10DD">
        <w:rPr>
          <w:rFonts w:ascii="Times New Roman" w:hAnsi="Times New Roman" w:cs="Times New Roman"/>
          <w:sz w:val="24"/>
          <w:szCs w:val="24"/>
        </w:rPr>
        <w:t>Bertolote &amp; Fleischmann, 2002</w:t>
      </w:r>
      <w:r>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Chile es el segundo país de la OCDE que más ha aumentado su tasa de suicidios durante los últimos 15 años</w:t>
      </w:r>
      <w:r w:rsidR="009B10DD">
        <w:rPr>
          <w:rFonts w:ascii="Times New Roman" w:hAnsi="Times New Roman"/>
          <w:sz w:val="24"/>
          <w:szCs w:val="24"/>
        </w:rPr>
        <w:t xml:space="preserve"> (OEDC, 2011; OECD, 2013)</w:t>
      </w:r>
      <w:r>
        <w:rPr>
          <w:rFonts w:ascii="Times New Roman" w:hAnsi="Times New Roman"/>
          <w:sz w:val="24"/>
          <w:szCs w:val="24"/>
        </w:rPr>
        <w:t>. Además, durante la última década el suicidio ha sido una de las diez primeras causas de muerte en varones chilenos</w:t>
      </w:r>
      <w:r w:rsidR="009B10DD">
        <w:rPr>
          <w:rFonts w:ascii="Times New Roman" w:hAnsi="Times New Roman"/>
          <w:sz w:val="24"/>
          <w:szCs w:val="24"/>
        </w:rPr>
        <w:t xml:space="preserve"> (DEIS, 2010</w:t>
      </w:r>
      <w:r w:rsidR="00BB1EAE">
        <w:rPr>
          <w:rFonts w:ascii="Times New Roman" w:hAnsi="Times New Roman"/>
          <w:sz w:val="24"/>
          <w:szCs w:val="24"/>
        </w:rPr>
        <w:t>a</w:t>
      </w:r>
      <w:r w:rsidR="009B10DD">
        <w:rPr>
          <w:rFonts w:ascii="Times New Roman" w:hAnsi="Times New Roman"/>
          <w:sz w:val="24"/>
          <w:szCs w:val="24"/>
        </w:rPr>
        <w:t>)</w:t>
      </w:r>
      <w:r>
        <w:rPr>
          <w:rFonts w:ascii="Times New Roman" w:hAnsi="Times New Roman"/>
          <w:sz w:val="24"/>
          <w:szCs w:val="24"/>
        </w:rPr>
        <w:t>, concentrando en 2010 el 11,7% de las defunciones en población general y el 19,1% de la mortalidad masculina. Hoy en día, la prevalencia de conducta suicida en la población chilena es mayor que en Nueva Zelanda y Japón, países donde el fenómeno es reconocidamente relevante</w:t>
      </w:r>
      <w:r w:rsidR="009B10DD">
        <w:rPr>
          <w:rFonts w:ascii="Times New Roman" w:hAnsi="Times New Roman"/>
          <w:sz w:val="24"/>
          <w:szCs w:val="24"/>
        </w:rPr>
        <w:t xml:space="preserve"> (Silva, Vicente, Saldivia ^ Kohn, 2013)</w:t>
      </w:r>
      <w:r>
        <w:rPr>
          <w:rFonts w:ascii="Times New Roman" w:hAnsi="Times New Roman"/>
          <w:sz w:val="24"/>
          <w:szCs w:val="24"/>
        </w:rPr>
        <w:t>. A su vez, en Chile el suicidio masculino toma más vidas anualmente que el SIDA y las enfermedades cardiovasculare</w:t>
      </w:r>
      <w:r w:rsidR="009B10DD">
        <w:rPr>
          <w:rFonts w:ascii="Times New Roman" w:hAnsi="Times New Roman"/>
          <w:sz w:val="24"/>
          <w:szCs w:val="24"/>
        </w:rPr>
        <w:t>s (DEIS, 2006a; DEIS, 2006b)</w:t>
      </w:r>
      <w:r>
        <w:rPr>
          <w:rFonts w:ascii="Times New Roman" w:hAnsi="Times New Roman"/>
          <w:sz w:val="24"/>
          <w:szCs w:val="24"/>
        </w:rPr>
        <w:t xml:space="preserve">. </w:t>
      </w:r>
    </w:p>
    <w:p w14:paraId="3ED9359B" w14:textId="66DA1203" w:rsidR="00653E90" w:rsidRDefault="00653E90" w:rsidP="002B6696">
      <w:pPr>
        <w:spacing w:line="360" w:lineRule="auto"/>
        <w:ind w:firstLine="720"/>
        <w:jc w:val="both"/>
        <w:rPr>
          <w:rFonts w:ascii="Times New Roman" w:hAnsi="Times New Roman"/>
          <w:sz w:val="24"/>
          <w:szCs w:val="24"/>
        </w:rPr>
      </w:pPr>
      <w:r>
        <w:rPr>
          <w:rFonts w:ascii="Times New Roman" w:hAnsi="Times New Roman"/>
          <w:sz w:val="24"/>
          <w:szCs w:val="24"/>
        </w:rPr>
        <w:t xml:space="preserve">Además de su relación con el suicidio, la presencia de trastornos mentales a largo plazo se ha asociado con una importante disminución en la calidad de vida, problemas de </w:t>
      </w:r>
      <w:r>
        <w:rPr>
          <w:rFonts w:ascii="Times New Roman" w:hAnsi="Times New Roman"/>
          <w:sz w:val="24"/>
          <w:szCs w:val="24"/>
        </w:rPr>
        <w:lastRenderedPageBreak/>
        <w:t>salud física y una alta tasa de mortalidad prematur</w:t>
      </w:r>
      <w:r w:rsidR="009B10DD">
        <w:rPr>
          <w:rFonts w:ascii="Times New Roman" w:hAnsi="Times New Roman"/>
          <w:sz w:val="24"/>
          <w:szCs w:val="24"/>
        </w:rPr>
        <w:t>a (Insel, 2008; WHO, 2013; OECD, 2008)</w:t>
      </w:r>
      <w:r>
        <w:rPr>
          <w:rFonts w:ascii="Times New Roman" w:hAnsi="Times New Roman"/>
          <w:sz w:val="24"/>
          <w:szCs w:val="24"/>
        </w:rPr>
        <w:t>. Por ejemplo, la depresión y esquizofrenia aumentan entre 40 y 60% la probabilidad de sufrir una muerte prematura por suicidio u otros problemas de salud física</w:t>
      </w:r>
      <w:r w:rsidR="00595563">
        <w:rPr>
          <w:rFonts w:ascii="Times New Roman" w:hAnsi="Times New Roman"/>
          <w:sz w:val="24"/>
          <w:szCs w:val="24"/>
        </w:rPr>
        <w:t xml:space="preserve"> (OMS, 2013)</w:t>
      </w:r>
      <w:r>
        <w:rPr>
          <w:rFonts w:ascii="Times New Roman" w:hAnsi="Times New Roman"/>
          <w:sz w:val="24"/>
          <w:szCs w:val="24"/>
        </w:rPr>
        <w:t>. Los trastornos depresivos unipolares son la segunda causa de años de vida saludables perdidos por vivir con discapacidad (AVISA) en la población chilena, y la primera en la población femenina entre 20 y 44 años</w:t>
      </w:r>
      <w:r w:rsidR="00595563">
        <w:rPr>
          <w:rFonts w:ascii="Times New Roman" w:hAnsi="Times New Roman"/>
          <w:sz w:val="24"/>
          <w:szCs w:val="24"/>
        </w:rPr>
        <w:t xml:space="preserve"> (MINSAL, 2007)</w:t>
      </w:r>
      <w:r>
        <w:rPr>
          <w:rFonts w:ascii="Times New Roman" w:hAnsi="Times New Roman"/>
          <w:sz w:val="24"/>
          <w:szCs w:val="24"/>
        </w:rPr>
        <w:t xml:space="preserve">. Como se observa en la Figura </w:t>
      </w:r>
      <w:r w:rsidR="00584042">
        <w:rPr>
          <w:rFonts w:ascii="Times New Roman" w:hAnsi="Times New Roman"/>
          <w:sz w:val="24"/>
          <w:szCs w:val="24"/>
        </w:rPr>
        <w:t>1.</w:t>
      </w:r>
      <w:r>
        <w:rPr>
          <w:rFonts w:ascii="Times New Roman" w:hAnsi="Times New Roman"/>
          <w:sz w:val="24"/>
          <w:szCs w:val="24"/>
        </w:rPr>
        <w:t>1, en su conjunto, las condiciones neuropsiquiátricas (trastornos depresivos unipolares y bipolares, esquizofrenia, dependencia y consumo alcohol y drogas ilícitas, trastornos ansiosos, epilepsia, demencias, Parkinson, migraña, parálisis cerebral infantil y síndrome de déficit atencional del niño) son el subgrupo de enfermedades que más AVISA concentra, abarcando el 23,2% (13</w:t>
      </w:r>
      <w:r>
        <w:rPr>
          <w:rFonts w:ascii="Times New Roman" w:hAnsi="Times New Roman"/>
          <w:sz w:val="24"/>
          <w:szCs w:val="24"/>
        </w:rPr>
        <w:fldChar w:fldCharType="begin"/>
      </w:r>
      <w:r>
        <w:rPr>
          <w:rFonts w:ascii="Times New Roman" w:hAnsi="Times New Roman"/>
          <w:sz w:val="24"/>
          <w:szCs w:val="24"/>
        </w:rPr>
        <w:instrText xml:space="preserve"> ADDIN EN.CITE &lt;EndNote&gt;&lt;Cite&gt;&lt;Year&gt;2007&lt;/Year&gt;&lt;RecNum&gt;131&lt;/RecNum&gt;&lt;DisplayText&gt;(15)&lt;/DisplayText&gt;&lt;record&gt;&lt;rec-number&gt;131&lt;/rec-number&gt;&lt;foreign-keys&gt;&lt;key app="EN" db-id="z0s9dzezletx2iepw53pdewxrx9ezfp0x0ed" timestamp="1407176434"&gt;131&lt;/key&gt;&lt;/foreign-keys&gt;&lt;ref-type name="Report"&gt;27&lt;/ref-type&gt;&lt;contributors&gt;&lt;/contributors&gt;&lt;titles&gt;&lt;title&gt;Ministerio de Salud de Chile. Informe Final. Estudio de Carga por Enfermedad y Carga Atribuible&lt;/title&gt;&lt;/titles&gt;&lt;dates&gt;&lt;year&gt;2007&lt;/year&gt;&lt;/dates&gt;&lt;pub-location&gt;Santiago&lt;/pub-location&gt;&lt;publisher&gt;MINSAL&lt;/publisher&gt;&lt;urls&gt;&lt;/urls&gt;&lt;/record&gt;&lt;/Cite&gt;&lt;/EndNote&gt;</w:instrText>
      </w:r>
      <w:r>
        <w:rPr>
          <w:rFonts w:ascii="Times New Roman" w:hAnsi="Times New Roman"/>
          <w:sz w:val="24"/>
          <w:szCs w:val="24"/>
        </w:rPr>
        <w:fldChar w:fldCharType="separate"/>
      </w:r>
      <w:r>
        <w:rPr>
          <w:rFonts w:ascii="Times New Roman" w:hAnsi="Times New Roman"/>
          <w:noProof/>
          <w:sz w:val="24"/>
          <w:szCs w:val="24"/>
        </w:rPr>
        <w:t>)</w:t>
      </w:r>
      <w:r>
        <w:rPr>
          <w:rFonts w:ascii="Times New Roman" w:hAnsi="Times New Roman"/>
          <w:sz w:val="24"/>
          <w:szCs w:val="24"/>
        </w:rPr>
        <w:fldChar w:fldCharType="end"/>
      </w:r>
      <w:r>
        <w:rPr>
          <w:rFonts w:ascii="Times New Roman" w:hAnsi="Times New Roman"/>
          <w:sz w:val="24"/>
          <w:szCs w:val="24"/>
        </w:rPr>
        <w:t>, y ocupando el primer lugar en gasto por licencias curativas (</w:t>
      </w:r>
      <w:r w:rsidR="00595563">
        <w:rPr>
          <w:rFonts w:ascii="Times New Roman" w:hAnsi="Times New Roman"/>
          <w:sz w:val="24"/>
          <w:szCs w:val="24"/>
        </w:rPr>
        <w:t>Superintendencia de Salud, 2013)</w:t>
      </w:r>
      <w:r>
        <w:rPr>
          <w:rFonts w:ascii="Times New Roman" w:hAnsi="Times New Roman"/>
          <w:sz w:val="24"/>
          <w:szCs w:val="24"/>
        </w:rPr>
        <w:t xml:space="preserve">. </w:t>
      </w:r>
    </w:p>
    <w:p w14:paraId="476CD229" w14:textId="77777777" w:rsidR="00584042" w:rsidRPr="00584042" w:rsidRDefault="00584042" w:rsidP="00584042">
      <w:pPr>
        <w:spacing w:line="240" w:lineRule="auto"/>
        <w:rPr>
          <w:rFonts w:ascii="Times New Roman" w:hAnsi="Times New Roman" w:cs="Times New Roman"/>
          <w:b/>
          <w:noProof/>
          <w:sz w:val="20"/>
          <w:szCs w:val="20"/>
          <w:lang w:eastAsia="es-ES"/>
        </w:rPr>
      </w:pPr>
      <w:r w:rsidRPr="00584042">
        <w:rPr>
          <w:rFonts w:ascii="Times New Roman" w:hAnsi="Times New Roman" w:cs="Times New Roman"/>
          <w:b/>
          <w:noProof/>
          <w:sz w:val="20"/>
          <w:szCs w:val="20"/>
          <w:lang w:eastAsia="es-ES"/>
        </w:rPr>
        <w:t xml:space="preserve">Figura 1. </w:t>
      </w:r>
      <w:r w:rsidRPr="00584042">
        <w:rPr>
          <w:rFonts w:ascii="Times New Roman" w:hAnsi="Times New Roman" w:cs="Times New Roman"/>
          <w:noProof/>
          <w:sz w:val="20"/>
          <w:szCs w:val="20"/>
          <w:lang w:eastAsia="es-ES"/>
        </w:rPr>
        <w:t>Años de Vida Ajustados por Discapacidad (AVISA) según subgrupo de enfermedades.</w:t>
      </w:r>
    </w:p>
    <w:p w14:paraId="34C74A62" w14:textId="6A18C227" w:rsidR="00584042" w:rsidRDefault="00584042" w:rsidP="00584042">
      <w:pPr>
        <w:spacing w:line="240" w:lineRule="auto"/>
        <w:contextualSpacing/>
        <w:rPr>
          <w:rFonts w:ascii="Times New Roman" w:hAnsi="Times New Roman" w:cs="Times New Roman"/>
          <w:sz w:val="18"/>
          <w:szCs w:val="18"/>
        </w:rPr>
      </w:pPr>
      <w:r>
        <w:rPr>
          <w:noProof/>
          <w:lang w:eastAsia="es-CL"/>
        </w:rPr>
        <w:drawing>
          <wp:inline distT="0" distB="0" distL="0" distR="0" wp14:anchorId="25BFBAC5" wp14:editId="1B140537">
            <wp:extent cx="5486400" cy="3337560"/>
            <wp:effectExtent l="0" t="0" r="0" b="15240"/>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3394AF4E" w14:textId="77777777" w:rsidR="00584042" w:rsidRDefault="00584042" w:rsidP="00584042">
      <w:pPr>
        <w:spacing w:line="240" w:lineRule="auto"/>
        <w:contextualSpacing/>
        <w:rPr>
          <w:rFonts w:ascii="Times New Roman" w:hAnsi="Times New Roman" w:cs="Times New Roman"/>
          <w:sz w:val="18"/>
          <w:szCs w:val="18"/>
        </w:rPr>
      </w:pPr>
      <w:r>
        <w:rPr>
          <w:rFonts w:ascii="Times New Roman" w:hAnsi="Times New Roman" w:cs="Times New Roman"/>
          <w:sz w:val="18"/>
          <w:szCs w:val="18"/>
        </w:rPr>
        <w:t>AVISA: Suma de los años de vida perdidos en Chile</w:t>
      </w:r>
    </w:p>
    <w:p w14:paraId="51508E14" w14:textId="6BE4621C" w:rsidR="00584042" w:rsidRDefault="00584042" w:rsidP="00584042">
      <w:pPr>
        <w:spacing w:line="240" w:lineRule="auto"/>
        <w:contextualSpacing/>
        <w:rPr>
          <w:rFonts w:ascii="Times New Roman" w:hAnsi="Times New Roman" w:cs="Times New Roman"/>
          <w:sz w:val="18"/>
          <w:szCs w:val="18"/>
        </w:rPr>
      </w:pPr>
      <w:r>
        <w:rPr>
          <w:rFonts w:ascii="Times New Roman" w:hAnsi="Times New Roman" w:cs="Times New Roman"/>
          <w:sz w:val="18"/>
          <w:szCs w:val="18"/>
        </w:rPr>
        <w:t>%: Porcentaje de chilenos sobre 15 años que padecen alguno de las siguientes condiciones o enfermedades.</w:t>
      </w:r>
    </w:p>
    <w:p w14:paraId="1A676BBC" w14:textId="77777777" w:rsidR="00584042" w:rsidRDefault="00584042" w:rsidP="00584042">
      <w:pPr>
        <w:rPr>
          <w:rFonts w:ascii="Times New Roman" w:hAnsi="Times New Roman" w:cs="Times New Roman"/>
          <w:sz w:val="18"/>
          <w:szCs w:val="18"/>
        </w:rPr>
      </w:pPr>
      <w:r>
        <w:rPr>
          <w:rFonts w:ascii="Times New Roman" w:hAnsi="Times New Roman" w:cs="Times New Roman"/>
          <w:sz w:val="18"/>
          <w:szCs w:val="18"/>
        </w:rPr>
        <w:br w:type="page"/>
      </w:r>
    </w:p>
    <w:p w14:paraId="2997BB32" w14:textId="77777777" w:rsidR="00584042" w:rsidRDefault="00584042" w:rsidP="002B6696">
      <w:pPr>
        <w:spacing w:line="360" w:lineRule="auto"/>
        <w:ind w:firstLine="720"/>
        <w:jc w:val="both"/>
        <w:rPr>
          <w:rFonts w:ascii="Times New Roman" w:hAnsi="Times New Roman"/>
          <w:sz w:val="24"/>
          <w:szCs w:val="24"/>
        </w:rPr>
      </w:pPr>
    </w:p>
    <w:p w14:paraId="2DEA5DD7" w14:textId="3E5AA376" w:rsidR="00653E90" w:rsidRDefault="00653E90" w:rsidP="002B6696">
      <w:pPr>
        <w:spacing w:line="360" w:lineRule="auto"/>
        <w:ind w:firstLine="720"/>
        <w:jc w:val="both"/>
        <w:rPr>
          <w:rFonts w:ascii="Times New Roman" w:hAnsi="Times New Roman"/>
          <w:sz w:val="24"/>
          <w:szCs w:val="24"/>
        </w:rPr>
      </w:pPr>
      <w:r>
        <w:rPr>
          <w:rFonts w:ascii="Times New Roman" w:hAnsi="Times New Roman"/>
          <w:sz w:val="24"/>
          <w:szCs w:val="24"/>
        </w:rPr>
        <w:t>En este artículo se contribuye a la literatura previa e ilustra con datos nacionales e internacionales la importancia de invertir en salud mental, el costo de no hacerlo, y la necesidad de producir investigación nacional (</w:t>
      </w:r>
      <w:r w:rsidR="00595563">
        <w:rPr>
          <w:rFonts w:ascii="Times New Roman" w:hAnsi="Times New Roman"/>
          <w:sz w:val="24"/>
          <w:szCs w:val="24"/>
        </w:rPr>
        <w:t>Valdés &amp; Errázuriz, 2012)</w:t>
      </w:r>
      <w:r>
        <w:rPr>
          <w:rFonts w:ascii="Times New Roman" w:hAnsi="Times New Roman"/>
          <w:sz w:val="24"/>
          <w:szCs w:val="24"/>
        </w:rPr>
        <w:t>. Se presenta el caso de Estados Unidos como ejemplo del intento por acabar con la inequidad en el financiamiento y acceso a la salud mental, y se proponen recomendaciones para Chile.</w:t>
      </w:r>
    </w:p>
    <w:p w14:paraId="131ED57A" w14:textId="77777777" w:rsidR="00653E90" w:rsidRDefault="00653E90" w:rsidP="002B6696">
      <w:pPr>
        <w:spacing w:line="360" w:lineRule="auto"/>
        <w:jc w:val="both"/>
        <w:rPr>
          <w:rFonts w:ascii="Times New Roman" w:hAnsi="Times New Roman"/>
          <w:b/>
          <w:sz w:val="24"/>
          <w:szCs w:val="24"/>
        </w:rPr>
      </w:pPr>
    </w:p>
    <w:p w14:paraId="20F07107" w14:textId="77777777" w:rsidR="00653E90" w:rsidRDefault="00653E90" w:rsidP="002B6696">
      <w:pPr>
        <w:spacing w:line="360" w:lineRule="auto"/>
        <w:jc w:val="both"/>
        <w:rPr>
          <w:rFonts w:ascii="Times New Roman" w:hAnsi="Times New Roman"/>
          <w:b/>
          <w:sz w:val="24"/>
          <w:szCs w:val="24"/>
        </w:rPr>
      </w:pPr>
      <w:r>
        <w:rPr>
          <w:rFonts w:ascii="Times New Roman" w:hAnsi="Times New Roman"/>
          <w:b/>
          <w:sz w:val="24"/>
          <w:szCs w:val="24"/>
        </w:rPr>
        <w:t>Políticas de salud mental en Chile</w:t>
      </w:r>
    </w:p>
    <w:p w14:paraId="432CECDD" w14:textId="710497FB" w:rsidR="00653E90" w:rsidRDefault="00653E90" w:rsidP="002B6696">
      <w:pPr>
        <w:spacing w:line="360" w:lineRule="auto"/>
        <w:jc w:val="both"/>
        <w:rPr>
          <w:rFonts w:ascii="Times New Roman" w:hAnsi="Times New Roman"/>
          <w:sz w:val="24"/>
          <w:szCs w:val="24"/>
        </w:rPr>
      </w:pPr>
      <w:r>
        <w:rPr>
          <w:rFonts w:ascii="Times New Roman" w:hAnsi="Times New Roman"/>
          <w:sz w:val="24"/>
          <w:szCs w:val="24"/>
        </w:rPr>
        <w:t>El actual sistema de salud mental en Chile se basa en el Plan Nacional de Salud Mental y Psiquiatría del año 2000, el cual plantea múltiples propuestas sobre el financiamiento y enfermedades prioritarias, enfatizando un modelo comunitario en el tratamiento y prevención de enfermedades mentales</w:t>
      </w:r>
      <w:r w:rsidR="00595563">
        <w:rPr>
          <w:rFonts w:ascii="Times New Roman" w:hAnsi="Times New Roman"/>
          <w:sz w:val="24"/>
          <w:szCs w:val="24"/>
        </w:rPr>
        <w:t xml:space="preserve"> (MINSAL, 2000)</w:t>
      </w:r>
      <w:r>
        <w:rPr>
          <w:rFonts w:ascii="Times New Roman" w:hAnsi="Times New Roman"/>
          <w:sz w:val="24"/>
          <w:szCs w:val="24"/>
        </w:rPr>
        <w:t xml:space="preserve">. En </w:t>
      </w:r>
      <w:proofErr w:type="gramStart"/>
      <w:r>
        <w:rPr>
          <w:rFonts w:ascii="Times New Roman" w:hAnsi="Times New Roman"/>
          <w:sz w:val="24"/>
          <w:szCs w:val="24"/>
        </w:rPr>
        <w:t>éste</w:t>
      </w:r>
      <w:proofErr w:type="gramEnd"/>
      <w:r>
        <w:rPr>
          <w:rFonts w:ascii="Times New Roman" w:hAnsi="Times New Roman"/>
          <w:sz w:val="24"/>
          <w:szCs w:val="24"/>
        </w:rPr>
        <w:t xml:space="preserve"> plan se definieron seis áreas prioritarias: 1) trastorno por déficit de atención e hiperactividad en niños; 2) víctimas de violencia intrafamiliar; 3) abuso y dependencia de alcohol y drogas; 4) depresión; 5) esquizofrenia, y 6) Alzheimer y otras demencias en adultos mayores. Actualmente tres de estas seis áreas (depresión, esquizofrenia, abuso y dependencia de sustancias) son cubiertas por AUGE/GES, plan que establece garantías de acceso, oportunidad, protección financiera, calidad de la atención entregada y entrega de los medicamentos garantizados</w:t>
      </w:r>
      <w:r w:rsidR="00595563">
        <w:rPr>
          <w:rFonts w:ascii="Times New Roman" w:hAnsi="Times New Roman"/>
          <w:sz w:val="24"/>
          <w:szCs w:val="24"/>
        </w:rPr>
        <w:t xml:space="preserve"> (Diario Oficial de Chile, 2013)</w:t>
      </w:r>
      <w:r>
        <w:rPr>
          <w:rFonts w:ascii="Times New Roman" w:hAnsi="Times New Roman"/>
          <w:sz w:val="24"/>
          <w:szCs w:val="24"/>
        </w:rPr>
        <w:t>.</w:t>
      </w:r>
    </w:p>
    <w:p w14:paraId="2D87B387" w14:textId="1C01521F" w:rsidR="00653E90" w:rsidRDefault="00653E90" w:rsidP="002B6696">
      <w:pPr>
        <w:spacing w:line="360" w:lineRule="auto"/>
        <w:ind w:firstLine="720"/>
        <w:jc w:val="both"/>
        <w:rPr>
          <w:rFonts w:ascii="Times New Roman" w:hAnsi="Times New Roman"/>
          <w:sz w:val="24"/>
          <w:szCs w:val="24"/>
        </w:rPr>
      </w:pPr>
      <w:r>
        <w:rPr>
          <w:rFonts w:ascii="Times New Roman" w:hAnsi="Times New Roman"/>
          <w:sz w:val="24"/>
          <w:szCs w:val="24"/>
        </w:rPr>
        <w:t>De las 80 patologías que actualmente cubre AUGE/GES, cuatro (5%) corresponden a patologías neuropsiquiátricas, a pesar de que éstas producen casi un cuarto de la carga total de enfermedades en Chile (AVISA)</w:t>
      </w:r>
      <w:r w:rsidR="00595563">
        <w:rPr>
          <w:rFonts w:ascii="Times New Roman" w:hAnsi="Times New Roman"/>
          <w:sz w:val="24"/>
          <w:szCs w:val="24"/>
        </w:rPr>
        <w:t xml:space="preserve"> (MINSAL, 2007)</w:t>
      </w:r>
      <w:r>
        <w:rPr>
          <w:rFonts w:ascii="Times New Roman" w:hAnsi="Times New Roman"/>
          <w:sz w:val="24"/>
          <w:szCs w:val="24"/>
        </w:rPr>
        <w:t>. De las 10 patologías agregadas en 2010, y 11 agregadas en 2013 al plan AUGE/GES, el trastorno bipolar es la única patología que corresponde al área de salud mental, quedando fuera el déficit atencional, la depresión adolescente y el maltrato infantil, las cuales estaban dentro las patologías a evaluar para ser incorporadas</w:t>
      </w:r>
      <w:r w:rsidR="00595563">
        <w:rPr>
          <w:rFonts w:ascii="Times New Roman" w:hAnsi="Times New Roman"/>
          <w:sz w:val="24"/>
          <w:szCs w:val="24"/>
        </w:rPr>
        <w:t xml:space="preserve"> (Diario Oficial de Chile, 2013).</w:t>
      </w:r>
      <w:r>
        <w:rPr>
          <w:rFonts w:ascii="Times New Roman" w:hAnsi="Times New Roman"/>
          <w:sz w:val="24"/>
          <w:szCs w:val="24"/>
        </w:rPr>
        <w:t xml:space="preserve">  Si bien no se cuenta con estudios de prevalencia actualizados a la fecha, existen enfermedades altamente prevalentes – como la agorafobia, que afecta al 11% de los chilenos y es el trastorno mental más frecuente en Chile</w:t>
      </w:r>
      <w:r w:rsidR="00595563">
        <w:rPr>
          <w:rFonts w:ascii="Times New Roman" w:hAnsi="Times New Roman"/>
          <w:sz w:val="24"/>
          <w:szCs w:val="24"/>
        </w:rPr>
        <w:t xml:space="preserve"> (Minoletti &amp; </w:t>
      </w:r>
      <w:proofErr w:type="spellStart"/>
      <w:r w:rsidR="00595563">
        <w:rPr>
          <w:rFonts w:ascii="Times New Roman" w:hAnsi="Times New Roman"/>
          <w:sz w:val="24"/>
          <w:szCs w:val="24"/>
        </w:rPr>
        <w:t>Zaccaria</w:t>
      </w:r>
      <w:proofErr w:type="spellEnd"/>
      <w:r w:rsidR="00595563">
        <w:rPr>
          <w:rFonts w:ascii="Times New Roman" w:hAnsi="Times New Roman"/>
          <w:sz w:val="24"/>
          <w:szCs w:val="24"/>
        </w:rPr>
        <w:t>, 2005)</w:t>
      </w:r>
      <w:r>
        <w:rPr>
          <w:rFonts w:ascii="Times New Roman" w:hAnsi="Times New Roman"/>
          <w:sz w:val="24"/>
          <w:szCs w:val="24"/>
        </w:rPr>
        <w:t xml:space="preserve"> –</w:t>
      </w:r>
      <w:r>
        <w:rPr>
          <w:rFonts w:ascii="Times New Roman" w:hAnsi="Times New Roman"/>
          <w:sz w:val="24"/>
          <w:szCs w:val="24"/>
          <w:lang w:eastAsia="es-CL"/>
        </w:rPr>
        <w:t xml:space="preserve"> que </w:t>
      </w:r>
      <w:r>
        <w:rPr>
          <w:rFonts w:ascii="Times New Roman" w:hAnsi="Times New Roman"/>
          <w:sz w:val="24"/>
          <w:szCs w:val="24"/>
        </w:rPr>
        <w:t xml:space="preserve">tampoco han sido incorporadas al AUGE/GES. Según </w:t>
      </w:r>
      <w:r>
        <w:rPr>
          <w:rFonts w:ascii="Times New Roman" w:hAnsi="Times New Roman"/>
          <w:sz w:val="24"/>
          <w:szCs w:val="24"/>
        </w:rPr>
        <w:lastRenderedPageBreak/>
        <w:t>Inostroza (2013), el aumento de patologías cubiertas por el AUGE/GES no ha sido acompañado de los recursos necesarios para cubrirlas, por lo que incluir más trastornos de salud mental en este plan tampoco asegura su adecuado financiamiento.</w:t>
      </w:r>
    </w:p>
    <w:p w14:paraId="5960A2A6" w14:textId="373B6303" w:rsidR="00595563" w:rsidRPr="00595563" w:rsidRDefault="00653E90" w:rsidP="00595563">
      <w:pPr>
        <w:spacing w:line="360" w:lineRule="auto"/>
        <w:ind w:firstLine="720"/>
        <w:jc w:val="both"/>
        <w:rPr>
          <w:rFonts w:ascii="Times New Roman" w:hAnsi="Times New Roman"/>
          <w:sz w:val="24"/>
          <w:szCs w:val="24"/>
        </w:rPr>
      </w:pPr>
      <w:r>
        <w:rPr>
          <w:rFonts w:ascii="Times New Roman" w:hAnsi="Times New Roman"/>
          <w:sz w:val="24"/>
          <w:szCs w:val="24"/>
        </w:rPr>
        <w:t>En 2011 el Gobierno de Chile presentó la Estrategia Nacional de Salud para el Cumplimiento de los Objetivos Sanitarios de la Década 2011-2020, conocida como “Elige Vivir Sano”. En esta política pública se reconoce que las enfermedades mentales empeoran la calidad de vida, aumentan el riesgo de enfermedades físicas y tienen un costo económico muy alto para el país. En ella se proponen 50 objetivos de salud, de los cuales cuatro refieren directamente a metas de salud mental: 1) disminuir la prevalencia de discapacidad en personas con enfermedad mental; 2) reducir el consumo y riesgo asociado al alcohol; 3) disminuir el consumo de drogas ilícitas; y 4) disminuir la mortalidad adolescente asociada a suicidios</w:t>
      </w:r>
      <w:r w:rsidR="00595563">
        <w:rPr>
          <w:rFonts w:ascii="Times New Roman" w:hAnsi="Times New Roman"/>
          <w:sz w:val="24"/>
          <w:szCs w:val="24"/>
        </w:rPr>
        <w:t xml:space="preserve"> (MINSAL, 2011</w:t>
      </w:r>
      <w:r w:rsidR="00BB1EAE">
        <w:rPr>
          <w:rFonts w:ascii="Times New Roman" w:hAnsi="Times New Roman"/>
          <w:sz w:val="24"/>
          <w:szCs w:val="24"/>
        </w:rPr>
        <w:t>a</w:t>
      </w:r>
      <w:r w:rsidR="00595563">
        <w:rPr>
          <w:rFonts w:ascii="Times New Roman" w:hAnsi="Times New Roman"/>
          <w:sz w:val="24"/>
          <w:szCs w:val="24"/>
        </w:rPr>
        <w:t>)</w:t>
      </w:r>
      <w:r>
        <w:rPr>
          <w:rFonts w:ascii="Times New Roman" w:hAnsi="Times New Roman"/>
          <w:sz w:val="24"/>
          <w:szCs w:val="24"/>
        </w:rPr>
        <w:t>. La estrategia busca seguir el ejemplo de países como Inglaterra y Australia que han posicionado la temática de salud mental como una prioridad de política pública</w:t>
      </w:r>
      <w:r w:rsidR="00595563">
        <w:rPr>
          <w:rFonts w:ascii="Times New Roman" w:hAnsi="Times New Roman"/>
          <w:sz w:val="24"/>
          <w:szCs w:val="24"/>
        </w:rPr>
        <w:t xml:space="preserve"> (HM </w:t>
      </w:r>
      <w:proofErr w:type="spellStart"/>
      <w:r w:rsidR="00595563">
        <w:rPr>
          <w:rFonts w:ascii="Times New Roman" w:hAnsi="Times New Roman"/>
          <w:sz w:val="24"/>
          <w:szCs w:val="24"/>
        </w:rPr>
        <w:t>Government</w:t>
      </w:r>
      <w:proofErr w:type="spellEnd"/>
      <w:r w:rsidR="00595563">
        <w:rPr>
          <w:rFonts w:ascii="Times New Roman" w:hAnsi="Times New Roman"/>
          <w:sz w:val="24"/>
          <w:szCs w:val="24"/>
        </w:rPr>
        <w:t xml:space="preserve">, 2011; </w:t>
      </w:r>
      <w:proofErr w:type="spellStart"/>
      <w:r w:rsidR="00595563">
        <w:rPr>
          <w:rFonts w:ascii="Times New Roman" w:hAnsi="Times New Roman"/>
          <w:sz w:val="24"/>
          <w:szCs w:val="24"/>
        </w:rPr>
        <w:t>Department</w:t>
      </w:r>
      <w:proofErr w:type="spellEnd"/>
      <w:r w:rsidR="00595563">
        <w:rPr>
          <w:rFonts w:ascii="Times New Roman" w:hAnsi="Times New Roman"/>
          <w:sz w:val="24"/>
          <w:szCs w:val="24"/>
        </w:rPr>
        <w:t xml:space="preserve"> </w:t>
      </w:r>
      <w:proofErr w:type="spellStart"/>
      <w:r w:rsidR="00595563">
        <w:rPr>
          <w:rFonts w:ascii="Times New Roman" w:hAnsi="Times New Roman"/>
          <w:sz w:val="24"/>
          <w:szCs w:val="24"/>
        </w:rPr>
        <w:t>of</w:t>
      </w:r>
      <w:proofErr w:type="spellEnd"/>
      <w:r w:rsidR="00595563">
        <w:rPr>
          <w:rFonts w:ascii="Times New Roman" w:hAnsi="Times New Roman"/>
          <w:sz w:val="24"/>
          <w:szCs w:val="24"/>
        </w:rPr>
        <w:t xml:space="preserve"> Human </w:t>
      </w:r>
      <w:proofErr w:type="spellStart"/>
      <w:r w:rsidR="00595563">
        <w:rPr>
          <w:rFonts w:ascii="Times New Roman" w:hAnsi="Times New Roman"/>
          <w:sz w:val="24"/>
          <w:szCs w:val="24"/>
        </w:rPr>
        <w:t>Services</w:t>
      </w:r>
      <w:proofErr w:type="spellEnd"/>
      <w:r w:rsidR="00595563">
        <w:rPr>
          <w:rFonts w:ascii="Times New Roman" w:hAnsi="Times New Roman"/>
          <w:sz w:val="24"/>
          <w:szCs w:val="24"/>
        </w:rPr>
        <w:t>, 2009)</w:t>
      </w:r>
      <w:r>
        <w:rPr>
          <w:rFonts w:ascii="Times New Roman" w:hAnsi="Times New Roman"/>
          <w:sz w:val="24"/>
          <w:szCs w:val="24"/>
        </w:rPr>
        <w:t xml:space="preserve">.  </w:t>
      </w:r>
    </w:p>
    <w:p w14:paraId="1A8A3E9B" w14:textId="5CB98811" w:rsidR="00653E90" w:rsidRDefault="00653E90" w:rsidP="002B6696">
      <w:pPr>
        <w:spacing w:line="360" w:lineRule="auto"/>
        <w:jc w:val="both"/>
        <w:rPr>
          <w:rFonts w:ascii="Times New Roman" w:hAnsi="Times New Roman"/>
          <w:b/>
          <w:sz w:val="24"/>
          <w:szCs w:val="24"/>
        </w:rPr>
      </w:pPr>
      <w:r>
        <w:rPr>
          <w:rFonts w:ascii="Times New Roman" w:hAnsi="Times New Roman"/>
          <w:b/>
          <w:sz w:val="24"/>
          <w:szCs w:val="24"/>
        </w:rPr>
        <w:t>Financiamiento de la salud mental en Chile</w:t>
      </w:r>
    </w:p>
    <w:p w14:paraId="77DA6140" w14:textId="77777777" w:rsidR="00584042" w:rsidRPr="00584042" w:rsidRDefault="00584042" w:rsidP="00584042">
      <w:pPr>
        <w:autoSpaceDE w:val="0"/>
        <w:autoSpaceDN w:val="0"/>
        <w:adjustRightInd w:val="0"/>
        <w:spacing w:after="0" w:line="360" w:lineRule="auto"/>
        <w:rPr>
          <w:rFonts w:ascii="Times New Roman" w:hAnsi="Times New Roman" w:cs="Times New Roman"/>
          <w:b/>
          <w:sz w:val="20"/>
          <w:szCs w:val="20"/>
        </w:rPr>
      </w:pPr>
      <w:r w:rsidRPr="00584042">
        <w:rPr>
          <w:rFonts w:ascii="Times New Roman" w:hAnsi="Times New Roman" w:cs="Times New Roman"/>
          <w:b/>
          <w:sz w:val="20"/>
          <w:szCs w:val="20"/>
        </w:rPr>
        <w:t xml:space="preserve">Figura 2. </w:t>
      </w:r>
      <w:r w:rsidRPr="00584042">
        <w:rPr>
          <w:rFonts w:ascii="Times New Roman" w:hAnsi="Times New Roman" w:cs="Times New Roman"/>
          <w:sz w:val="20"/>
          <w:szCs w:val="20"/>
        </w:rPr>
        <w:t>Porcentaje real del presupuesto de salud destinado a salud mental versus el esperado.</w:t>
      </w:r>
    </w:p>
    <w:p w14:paraId="0FD1D821" w14:textId="77777777" w:rsidR="00584042" w:rsidRPr="00584042" w:rsidRDefault="00584042" w:rsidP="00584042">
      <w:pPr>
        <w:spacing w:line="360" w:lineRule="auto"/>
        <w:rPr>
          <w:rFonts w:ascii="Times New Roman" w:hAnsi="Times New Roman" w:cs="Times New Roman"/>
          <w:sz w:val="18"/>
          <w:szCs w:val="18"/>
        </w:rPr>
      </w:pPr>
      <w:r>
        <w:rPr>
          <w:rFonts w:ascii="Times New Roman" w:hAnsi="Times New Roman" w:cs="Times New Roman"/>
          <w:noProof/>
          <w:sz w:val="18"/>
          <w:szCs w:val="18"/>
          <w:lang w:eastAsia="es-CL"/>
        </w:rPr>
        <w:drawing>
          <wp:inline distT="0" distB="0" distL="0" distR="0" wp14:anchorId="005D117B" wp14:editId="0D744499">
            <wp:extent cx="4091940" cy="3108960"/>
            <wp:effectExtent l="0" t="0" r="381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091940" cy="3108960"/>
                    </a:xfrm>
                    <a:prstGeom prst="rect">
                      <a:avLst/>
                    </a:prstGeom>
                    <a:noFill/>
                    <a:ln>
                      <a:noFill/>
                    </a:ln>
                  </pic:spPr>
                </pic:pic>
              </a:graphicData>
            </a:graphic>
          </wp:inline>
        </w:drawing>
      </w:r>
    </w:p>
    <w:p w14:paraId="54A5CDF0" w14:textId="77777777" w:rsidR="00584042" w:rsidRDefault="00584042" w:rsidP="002B6696">
      <w:pPr>
        <w:spacing w:line="360" w:lineRule="auto"/>
        <w:jc w:val="both"/>
        <w:rPr>
          <w:rFonts w:ascii="Times New Roman" w:hAnsi="Times New Roman"/>
          <w:b/>
          <w:sz w:val="24"/>
          <w:szCs w:val="24"/>
        </w:rPr>
      </w:pPr>
    </w:p>
    <w:p w14:paraId="449081DF" w14:textId="6CA50C39" w:rsidR="00653E90" w:rsidRDefault="00653E90" w:rsidP="002B6696">
      <w:pPr>
        <w:spacing w:line="360" w:lineRule="auto"/>
        <w:jc w:val="both"/>
        <w:rPr>
          <w:rFonts w:ascii="Times New Roman" w:hAnsi="Times New Roman"/>
          <w:sz w:val="24"/>
          <w:szCs w:val="24"/>
        </w:rPr>
      </w:pPr>
      <w:r>
        <w:rPr>
          <w:rFonts w:ascii="Times New Roman" w:hAnsi="Times New Roman"/>
          <w:sz w:val="24"/>
          <w:szCs w:val="24"/>
        </w:rPr>
        <w:lastRenderedPageBreak/>
        <w:t>Según el informe de la Organización Mundial de la Salud y el Ministerio de Salud de Chile</w:t>
      </w:r>
      <w:r w:rsidR="00595563">
        <w:rPr>
          <w:rFonts w:ascii="Times New Roman" w:hAnsi="Times New Roman"/>
          <w:sz w:val="24"/>
          <w:szCs w:val="24"/>
        </w:rPr>
        <w:t xml:space="preserve"> (OMS-MINSAL, 2006)</w:t>
      </w:r>
      <w:r>
        <w:rPr>
          <w:rFonts w:ascii="Times New Roman" w:hAnsi="Times New Roman"/>
          <w:sz w:val="24"/>
          <w:szCs w:val="24"/>
        </w:rPr>
        <w:t>, el año 2007 el sector público destinó el 2,14% del presupuesto total de salud a salud mental. En el año 2012, el porcentaje del presupuesto de salud que el sector público destinó a salud mental fue de 2,16%</w:t>
      </w:r>
      <w:r w:rsidR="00595563">
        <w:rPr>
          <w:rFonts w:ascii="Times New Roman" w:hAnsi="Times New Roman"/>
          <w:sz w:val="24"/>
          <w:szCs w:val="24"/>
        </w:rPr>
        <w:t xml:space="preserve"> (Universidad de Chile, 2014)</w:t>
      </w:r>
      <w:r>
        <w:rPr>
          <w:rFonts w:ascii="Times New Roman" w:hAnsi="Times New Roman"/>
          <w:sz w:val="24"/>
          <w:szCs w:val="24"/>
        </w:rPr>
        <w:t xml:space="preserve">, cifra que está muy debajo del 5,0% que propuso como meta el Plan Nacional de Salud Mental y Psiquiatría para el año 2010 </w:t>
      </w:r>
      <w:r w:rsidR="00595563">
        <w:rPr>
          <w:rFonts w:ascii="Times New Roman" w:hAnsi="Times New Roman"/>
          <w:sz w:val="24"/>
          <w:szCs w:val="24"/>
        </w:rPr>
        <w:t>(OMS-MINSAL, 2006)</w:t>
      </w:r>
      <w:r>
        <w:rPr>
          <w:rFonts w:ascii="Times New Roman" w:hAnsi="Times New Roman"/>
          <w:sz w:val="24"/>
          <w:szCs w:val="24"/>
        </w:rPr>
        <w:t xml:space="preserve"> (ver Figura </w:t>
      </w:r>
      <w:r w:rsidR="00584042">
        <w:rPr>
          <w:rFonts w:ascii="Times New Roman" w:hAnsi="Times New Roman"/>
          <w:sz w:val="24"/>
          <w:szCs w:val="24"/>
        </w:rPr>
        <w:t>1.</w:t>
      </w:r>
      <w:r>
        <w:rPr>
          <w:rFonts w:ascii="Times New Roman" w:hAnsi="Times New Roman"/>
          <w:sz w:val="24"/>
          <w:szCs w:val="24"/>
        </w:rPr>
        <w:t xml:space="preserve">2). Comparado con otros países de ingreso alto y medio alto, el porcentaje del presupuesto asignado a salud mental en Chile también parece relativamente bajo. Como se puede ver en la Figura </w:t>
      </w:r>
      <w:r w:rsidR="00584042">
        <w:rPr>
          <w:rFonts w:ascii="Times New Roman" w:hAnsi="Times New Roman"/>
          <w:sz w:val="24"/>
          <w:szCs w:val="24"/>
        </w:rPr>
        <w:t>1.</w:t>
      </w:r>
      <w:r>
        <w:rPr>
          <w:rFonts w:ascii="Times New Roman" w:hAnsi="Times New Roman"/>
          <w:sz w:val="24"/>
          <w:szCs w:val="24"/>
        </w:rPr>
        <w:t xml:space="preserve">3, el porcentaje destinado a salud mental sitúa a nuestro país muy por debajo de los porcentajes que muestran otros países de ingresos altos como Estados Unidos (6,0%), Australia (9,6%), Reino Unido (10,0%), Suecia y Nueva Zelanda (11,0%), y al promedio mundial (2,8%) </w:t>
      </w:r>
      <w:r w:rsidR="00595563">
        <w:rPr>
          <w:rFonts w:ascii="Times New Roman" w:hAnsi="Times New Roman"/>
          <w:sz w:val="24"/>
          <w:szCs w:val="24"/>
        </w:rPr>
        <w:t>(OMS-MINSAL, 2006)</w:t>
      </w:r>
      <w:r>
        <w:rPr>
          <w:rFonts w:ascii="Times New Roman" w:hAnsi="Times New Roman"/>
          <w:sz w:val="24"/>
          <w:szCs w:val="24"/>
        </w:rPr>
        <w:t>.</w:t>
      </w:r>
    </w:p>
    <w:p w14:paraId="78FB9168" w14:textId="77777777" w:rsidR="00584042" w:rsidRPr="00584042" w:rsidRDefault="00584042" w:rsidP="00584042">
      <w:pPr>
        <w:spacing w:line="240" w:lineRule="auto"/>
        <w:contextualSpacing/>
        <w:rPr>
          <w:rFonts w:ascii="Times New Roman" w:hAnsi="Times New Roman" w:cs="Times New Roman"/>
          <w:sz w:val="20"/>
          <w:szCs w:val="20"/>
        </w:rPr>
      </w:pPr>
      <w:r w:rsidRPr="00584042">
        <w:rPr>
          <w:rFonts w:ascii="Times New Roman" w:hAnsi="Times New Roman" w:cs="Times New Roman"/>
          <w:b/>
          <w:sz w:val="20"/>
          <w:szCs w:val="20"/>
        </w:rPr>
        <w:t xml:space="preserve">Figura 3. </w:t>
      </w:r>
      <w:r w:rsidRPr="00584042">
        <w:rPr>
          <w:rFonts w:ascii="Times New Roman" w:hAnsi="Times New Roman" w:cs="Times New Roman"/>
          <w:sz w:val="20"/>
          <w:szCs w:val="20"/>
        </w:rPr>
        <w:t>Porcentaje del presupuesto nacional de salud destinado a salud mental en países de ingreso alto y medio alto.</w:t>
      </w:r>
    </w:p>
    <w:p w14:paraId="749EEC54" w14:textId="4DB15141" w:rsidR="00584042" w:rsidRDefault="00584042" w:rsidP="00584042">
      <w:pPr>
        <w:spacing w:line="360" w:lineRule="auto"/>
        <w:jc w:val="both"/>
        <w:rPr>
          <w:rFonts w:ascii="Times New Roman" w:hAnsi="Times New Roman"/>
          <w:sz w:val="24"/>
          <w:szCs w:val="24"/>
        </w:rPr>
      </w:pPr>
      <w:r>
        <w:rPr>
          <w:rFonts w:ascii="Times New Roman" w:hAnsi="Times New Roman" w:cs="Times New Roman"/>
          <w:noProof/>
          <w:sz w:val="18"/>
          <w:szCs w:val="18"/>
          <w:lang w:eastAsia="es-CL"/>
        </w:rPr>
        <w:drawing>
          <wp:inline distT="0" distB="0" distL="0" distR="0" wp14:anchorId="56FB1258" wp14:editId="1E52130B">
            <wp:extent cx="5928360" cy="3810000"/>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928360" cy="3810000"/>
                    </a:xfrm>
                    <a:prstGeom prst="rect">
                      <a:avLst/>
                    </a:prstGeom>
                    <a:noFill/>
                    <a:ln>
                      <a:noFill/>
                    </a:ln>
                  </pic:spPr>
                </pic:pic>
              </a:graphicData>
            </a:graphic>
          </wp:inline>
        </w:drawing>
      </w:r>
      <w:r>
        <w:rPr>
          <w:rFonts w:ascii="Times New Roman" w:hAnsi="Times New Roman" w:cs="Times New Roman"/>
          <w:sz w:val="18"/>
          <w:szCs w:val="18"/>
        </w:rPr>
        <w:br w:type="page"/>
      </w:r>
    </w:p>
    <w:p w14:paraId="76D31F60" w14:textId="635D3F5C" w:rsidR="00653E90" w:rsidRDefault="00653E90" w:rsidP="002B6696">
      <w:pPr>
        <w:spacing w:line="360" w:lineRule="auto"/>
        <w:ind w:firstLine="720"/>
        <w:jc w:val="both"/>
        <w:rPr>
          <w:rFonts w:ascii="Times New Roman" w:hAnsi="Times New Roman"/>
          <w:sz w:val="24"/>
          <w:szCs w:val="24"/>
        </w:rPr>
      </w:pPr>
      <w:r>
        <w:rPr>
          <w:rFonts w:ascii="Times New Roman" w:hAnsi="Times New Roman"/>
          <w:sz w:val="24"/>
          <w:szCs w:val="24"/>
        </w:rPr>
        <w:lastRenderedPageBreak/>
        <w:t>En suma, los objetivos de financiamiento trazados por el Plan Nacional de Salud Mental y Psiquiatría no se han cumplido. A pesar de los esfuerzos de quienes trabajan en el Departamento de Salud Mental del Ministerio de Salud, y de quienes prestan servicios de salud mental, las condiciones de financiamiento son insuficientes para alcanzar los objetivos trazados en materia de promoción, prevención y tratamiento de los trastornos mentales en Chile</w:t>
      </w:r>
      <w:r w:rsidR="00595563">
        <w:rPr>
          <w:rFonts w:ascii="Times New Roman" w:hAnsi="Times New Roman"/>
          <w:sz w:val="24"/>
          <w:szCs w:val="24"/>
        </w:rPr>
        <w:t xml:space="preserve"> (OMS-MINSAL, 2006)</w:t>
      </w:r>
      <w:r>
        <w:rPr>
          <w:rFonts w:ascii="Times New Roman" w:hAnsi="Times New Roman"/>
          <w:sz w:val="24"/>
          <w:szCs w:val="24"/>
        </w:rPr>
        <w:t>. La falta de recursos económicos podría ser una de las razones que explican por qué el Plan Nacional de Salud Mental y Psiquiatría y la incorporación de patologías mentales al sistema AUGE/GES no han generado grandes cambios en la prevalencia de patología mental en Chile. Por ejemplo, si bien la depresión fue incorporada dentro de las patologías AUGE/GES en 2006, la presencia de síntomas depresivos en la población no ha disminuido de forma importante (</w:t>
      </w:r>
      <w:r w:rsidR="00595563">
        <w:rPr>
          <w:rFonts w:ascii="Times New Roman" w:hAnsi="Times New Roman"/>
          <w:sz w:val="24"/>
          <w:szCs w:val="24"/>
        </w:rPr>
        <w:t>MINSAL, 2004; MISAL, 2011b)</w:t>
      </w:r>
      <w:r>
        <w:rPr>
          <w:rFonts w:ascii="Times New Roman" w:hAnsi="Times New Roman"/>
          <w:sz w:val="24"/>
          <w:szCs w:val="24"/>
        </w:rPr>
        <w:t>. Mientras 17,5% de la población había presentado síntomas depresivos en el último año en 2003, esta cifra sólo disminuyó a 17,2% en 2009, aumentando específicamente la prevalencia en mujeres de edad media (45 a 64 años) desde 22,2% a 30,1% y en los hombres de 25 a 44 años desde 8,3% a 11,0%.</w:t>
      </w:r>
    </w:p>
    <w:p w14:paraId="6F284345" w14:textId="77777777" w:rsidR="00BB1EAE" w:rsidRDefault="00653E90" w:rsidP="002B6696">
      <w:pPr>
        <w:spacing w:line="360" w:lineRule="auto"/>
        <w:ind w:firstLine="720"/>
        <w:jc w:val="both"/>
        <w:rPr>
          <w:rFonts w:ascii="Times New Roman" w:hAnsi="Times New Roman"/>
          <w:sz w:val="24"/>
          <w:szCs w:val="24"/>
        </w:rPr>
      </w:pPr>
      <w:r>
        <w:rPr>
          <w:rFonts w:ascii="Times New Roman" w:hAnsi="Times New Roman"/>
          <w:sz w:val="24"/>
          <w:szCs w:val="24"/>
        </w:rPr>
        <w:t xml:space="preserve">Respecto al suicidio, entre 2000 y 2009 las tasas aumentaron considerablemente (ver Figura </w:t>
      </w:r>
      <w:r w:rsidR="00584042">
        <w:rPr>
          <w:rFonts w:ascii="Times New Roman" w:hAnsi="Times New Roman"/>
          <w:sz w:val="24"/>
          <w:szCs w:val="24"/>
        </w:rPr>
        <w:t>1.</w:t>
      </w:r>
      <w:r>
        <w:rPr>
          <w:rFonts w:ascii="Times New Roman" w:hAnsi="Times New Roman"/>
          <w:sz w:val="24"/>
          <w:szCs w:val="24"/>
        </w:rPr>
        <w:t>4). En 2000 hubo 9,6 fallecimientos por suicidios por cada 100.000 habitantes (16,6 en hombres y 2,7 en mujeres), subiendo a 12,7 en 2009 (20,8 en hombres y 5,0 en mujeres)</w:t>
      </w:r>
      <w:r w:rsidR="00BB1EAE">
        <w:rPr>
          <w:rFonts w:ascii="Times New Roman" w:hAnsi="Times New Roman"/>
          <w:sz w:val="24"/>
          <w:szCs w:val="24"/>
        </w:rPr>
        <w:t xml:space="preserve"> (DEIS, 2010b)</w:t>
      </w:r>
      <w:r>
        <w:rPr>
          <w:rFonts w:ascii="Times New Roman" w:hAnsi="Times New Roman"/>
          <w:sz w:val="24"/>
          <w:szCs w:val="24"/>
        </w:rPr>
        <w:t>. No sabemos cómo serían las tasas actuales de depresión y suicidio si la depresión no hubiera sido incorporada al AUGE/GES, pero es razonable especular que el panorama actual sería más sombrío aún, ya que se ha demostrado que el tratamiento de la depresión disminuye la prevalencia del suicidio</w:t>
      </w:r>
      <w:r w:rsidR="00BB1EAE">
        <w:rPr>
          <w:rFonts w:ascii="Times New Roman" w:hAnsi="Times New Roman"/>
          <w:sz w:val="24"/>
          <w:szCs w:val="24"/>
        </w:rPr>
        <w:t xml:space="preserve"> (Gibbons, Hur, </w:t>
      </w:r>
      <w:proofErr w:type="spellStart"/>
      <w:r w:rsidR="00BB1EAE">
        <w:rPr>
          <w:rFonts w:ascii="Times New Roman" w:hAnsi="Times New Roman"/>
          <w:sz w:val="24"/>
          <w:szCs w:val="24"/>
        </w:rPr>
        <w:t>Bhaumik</w:t>
      </w:r>
      <w:proofErr w:type="spellEnd"/>
      <w:r w:rsidR="00BB1EAE">
        <w:rPr>
          <w:rFonts w:ascii="Times New Roman" w:hAnsi="Times New Roman"/>
          <w:sz w:val="24"/>
          <w:szCs w:val="24"/>
        </w:rPr>
        <w:t xml:space="preserve"> &amp; Mann, 2005)</w:t>
      </w:r>
      <w:r>
        <w:rPr>
          <w:rFonts w:ascii="Times New Roman" w:hAnsi="Times New Roman"/>
          <w:sz w:val="24"/>
          <w:szCs w:val="24"/>
        </w:rPr>
        <w:t>.</w:t>
      </w:r>
    </w:p>
    <w:p w14:paraId="6752D604" w14:textId="77777777" w:rsidR="00BB1EAE" w:rsidRDefault="00BB1EAE" w:rsidP="002B6696">
      <w:pPr>
        <w:spacing w:line="360" w:lineRule="auto"/>
        <w:ind w:firstLine="720"/>
        <w:jc w:val="both"/>
        <w:rPr>
          <w:rFonts w:ascii="Times New Roman" w:hAnsi="Times New Roman"/>
          <w:sz w:val="24"/>
          <w:szCs w:val="24"/>
        </w:rPr>
      </w:pPr>
    </w:p>
    <w:p w14:paraId="6511227F" w14:textId="77777777" w:rsidR="00BB1EAE" w:rsidRDefault="00BB1EAE" w:rsidP="002B6696">
      <w:pPr>
        <w:spacing w:line="360" w:lineRule="auto"/>
        <w:ind w:firstLine="720"/>
        <w:jc w:val="both"/>
        <w:rPr>
          <w:rFonts w:ascii="Times New Roman" w:hAnsi="Times New Roman"/>
          <w:sz w:val="24"/>
          <w:szCs w:val="24"/>
        </w:rPr>
      </w:pPr>
    </w:p>
    <w:p w14:paraId="116FA3D6" w14:textId="77777777" w:rsidR="00BB1EAE" w:rsidRDefault="00BB1EAE" w:rsidP="002B6696">
      <w:pPr>
        <w:spacing w:line="360" w:lineRule="auto"/>
        <w:ind w:firstLine="720"/>
        <w:jc w:val="both"/>
        <w:rPr>
          <w:rFonts w:ascii="Times New Roman" w:hAnsi="Times New Roman"/>
          <w:sz w:val="24"/>
          <w:szCs w:val="24"/>
        </w:rPr>
      </w:pPr>
    </w:p>
    <w:p w14:paraId="5C60564D" w14:textId="77777777" w:rsidR="00BB1EAE" w:rsidRDefault="00BB1EAE" w:rsidP="002B6696">
      <w:pPr>
        <w:spacing w:line="360" w:lineRule="auto"/>
        <w:ind w:firstLine="720"/>
        <w:jc w:val="both"/>
        <w:rPr>
          <w:rFonts w:ascii="Times New Roman" w:hAnsi="Times New Roman"/>
          <w:sz w:val="24"/>
          <w:szCs w:val="24"/>
        </w:rPr>
      </w:pPr>
    </w:p>
    <w:p w14:paraId="66C3E43B" w14:textId="77777777" w:rsidR="00BB1EAE" w:rsidRDefault="00BB1EAE" w:rsidP="002B6696">
      <w:pPr>
        <w:spacing w:line="360" w:lineRule="auto"/>
        <w:ind w:firstLine="720"/>
        <w:jc w:val="both"/>
        <w:rPr>
          <w:rFonts w:ascii="Times New Roman" w:hAnsi="Times New Roman"/>
          <w:sz w:val="24"/>
          <w:szCs w:val="24"/>
        </w:rPr>
      </w:pPr>
    </w:p>
    <w:p w14:paraId="1C679E23" w14:textId="76DBBBE3" w:rsidR="00653E90" w:rsidRDefault="00653E90" w:rsidP="002B6696">
      <w:pPr>
        <w:spacing w:line="360" w:lineRule="auto"/>
        <w:ind w:firstLine="720"/>
        <w:jc w:val="both"/>
        <w:rPr>
          <w:rFonts w:ascii="Times New Roman" w:hAnsi="Times New Roman"/>
          <w:sz w:val="24"/>
          <w:szCs w:val="24"/>
        </w:rPr>
      </w:pPr>
      <w:r>
        <w:rPr>
          <w:rFonts w:ascii="Times New Roman" w:hAnsi="Times New Roman"/>
          <w:sz w:val="24"/>
          <w:szCs w:val="24"/>
        </w:rPr>
        <w:t xml:space="preserve">  </w:t>
      </w:r>
    </w:p>
    <w:p w14:paraId="7FFBF61A" w14:textId="77777777" w:rsidR="00584042" w:rsidRPr="00584042" w:rsidRDefault="00584042" w:rsidP="00584042">
      <w:pPr>
        <w:autoSpaceDE w:val="0"/>
        <w:autoSpaceDN w:val="0"/>
        <w:adjustRightInd w:val="0"/>
        <w:spacing w:after="0" w:line="360" w:lineRule="auto"/>
        <w:contextualSpacing/>
        <w:rPr>
          <w:rFonts w:ascii="Times New Roman" w:hAnsi="Times New Roman" w:cs="Times New Roman"/>
          <w:sz w:val="20"/>
          <w:szCs w:val="20"/>
        </w:rPr>
      </w:pPr>
      <w:r w:rsidRPr="00584042">
        <w:rPr>
          <w:rFonts w:ascii="Times New Roman" w:hAnsi="Times New Roman" w:cs="Times New Roman"/>
          <w:b/>
          <w:sz w:val="20"/>
          <w:szCs w:val="20"/>
        </w:rPr>
        <w:lastRenderedPageBreak/>
        <w:t xml:space="preserve">Figura 4. </w:t>
      </w:r>
      <w:r w:rsidRPr="00584042">
        <w:rPr>
          <w:rFonts w:ascii="Times New Roman" w:hAnsi="Times New Roman" w:cs="Times New Roman"/>
          <w:sz w:val="20"/>
          <w:szCs w:val="20"/>
        </w:rPr>
        <w:t>Cambio en la tasa de suicidio por cada 100.000 habitantes (2000-2009).</w:t>
      </w:r>
    </w:p>
    <w:p w14:paraId="3B447B3C" w14:textId="68D9D70D" w:rsidR="00584042" w:rsidRDefault="00584042" w:rsidP="002B6696">
      <w:pPr>
        <w:spacing w:line="360" w:lineRule="auto"/>
        <w:ind w:firstLine="720"/>
        <w:jc w:val="both"/>
        <w:rPr>
          <w:rFonts w:ascii="Times New Roman" w:hAnsi="Times New Roman"/>
          <w:sz w:val="24"/>
          <w:szCs w:val="24"/>
        </w:rPr>
      </w:pPr>
      <w:r>
        <w:rPr>
          <w:noProof/>
        </w:rPr>
        <w:drawing>
          <wp:inline distT="0" distB="0" distL="0" distR="0" wp14:anchorId="081BF61A" wp14:editId="33BCF7E5">
            <wp:extent cx="3876675" cy="2219325"/>
            <wp:effectExtent l="0" t="0" r="0" b="0"/>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4E2A6CB8" w14:textId="7DA883DB" w:rsidR="00653E90" w:rsidRDefault="00653E90" w:rsidP="002B6696">
      <w:pPr>
        <w:spacing w:line="360" w:lineRule="auto"/>
        <w:ind w:firstLine="720"/>
        <w:jc w:val="both"/>
        <w:rPr>
          <w:rFonts w:ascii="Times New Roman" w:hAnsi="Times New Roman"/>
          <w:sz w:val="24"/>
          <w:szCs w:val="24"/>
        </w:rPr>
      </w:pPr>
      <w:r>
        <w:rPr>
          <w:rFonts w:ascii="Times New Roman" w:hAnsi="Times New Roman"/>
          <w:sz w:val="24"/>
          <w:szCs w:val="24"/>
        </w:rPr>
        <w:t>Los escasos estudios nacionales sobre prevalencia de otras patologías mentales, y sobre el impacto de las políticas de salud mental implementadas, no permiten tener un panorama más completo sobre la evolución de la salud mental en el país y la efectividad de los recursos invertidos. La mayoría de las investigaciones en salud mental centra su atención en los países del hemisferio norte</w:t>
      </w:r>
      <w:r w:rsidR="00BB1EAE">
        <w:rPr>
          <w:rFonts w:ascii="Times New Roman" w:hAnsi="Times New Roman"/>
          <w:sz w:val="24"/>
          <w:szCs w:val="24"/>
        </w:rPr>
        <w:t xml:space="preserve"> (Lund et al., 2011)</w:t>
      </w:r>
      <w:r>
        <w:rPr>
          <w:rFonts w:ascii="Times New Roman" w:hAnsi="Times New Roman"/>
          <w:sz w:val="24"/>
          <w:szCs w:val="24"/>
        </w:rPr>
        <w:t>. Si bien constituyen antecedentes relevantes para la política pública nacional, las diferencias socioeconómicas y culturales limitan la generalización de los hallazgos. Por esto, además de destinar mayores recursos a financiar la salud mental, también es necesario contar con investigación nacional que permita impulsar intervenciones pertinentes, eficientes y costo-efectivas.</w:t>
      </w:r>
    </w:p>
    <w:p w14:paraId="4C99BE09" w14:textId="77777777" w:rsidR="00653E90" w:rsidRDefault="00653E90" w:rsidP="002B6696">
      <w:pPr>
        <w:pStyle w:val="Default"/>
        <w:spacing w:line="360" w:lineRule="auto"/>
        <w:jc w:val="both"/>
        <w:rPr>
          <w:rFonts w:eastAsia="Calibri"/>
          <w:color w:val="auto"/>
          <w:lang w:val="es-CL"/>
        </w:rPr>
      </w:pPr>
    </w:p>
    <w:p w14:paraId="411C4E63" w14:textId="77777777" w:rsidR="00653E90" w:rsidRDefault="00653E90" w:rsidP="002B6696">
      <w:pPr>
        <w:spacing w:line="360" w:lineRule="auto"/>
        <w:jc w:val="both"/>
        <w:rPr>
          <w:rFonts w:ascii="Times New Roman" w:eastAsia="Calibri" w:hAnsi="Times New Roman"/>
          <w:b/>
          <w:sz w:val="24"/>
          <w:szCs w:val="24"/>
        </w:rPr>
      </w:pPr>
      <w:r>
        <w:rPr>
          <w:rFonts w:ascii="Times New Roman" w:hAnsi="Times New Roman"/>
          <w:b/>
          <w:sz w:val="24"/>
          <w:szCs w:val="24"/>
        </w:rPr>
        <w:t>El costo de no invertir en salud mental</w:t>
      </w:r>
    </w:p>
    <w:p w14:paraId="75F8141D" w14:textId="6E47BF66" w:rsidR="00653E90" w:rsidRDefault="00653E90" w:rsidP="002B6696">
      <w:pPr>
        <w:spacing w:line="360" w:lineRule="auto"/>
        <w:jc w:val="both"/>
        <w:rPr>
          <w:rFonts w:ascii="Times New Roman" w:hAnsi="Times New Roman"/>
          <w:sz w:val="24"/>
          <w:szCs w:val="24"/>
        </w:rPr>
      </w:pPr>
      <w:r>
        <w:rPr>
          <w:rFonts w:ascii="Times New Roman" w:hAnsi="Times New Roman"/>
          <w:sz w:val="24"/>
          <w:szCs w:val="24"/>
        </w:rPr>
        <w:t>Si bien existe una alta prevalencia de trastornos de salud mental en Chile, y hasta la fecha el país no ha destinado los recursos necesarios para revertir esta situación, podría argumentarse que la salud mental no debería ser una prioridad nacional y que los individuos y sus familias deberían encargarse de este problema. Sin embargo, las enfermedades mentales imponen altos costos económicos tanto para las personas como para el país. Por ejemplo, la depresión tiene un mayor peso económico en el costo total de manejo de la enfermedad que el cáncer</w:t>
      </w:r>
      <w:r w:rsidR="00BB1EAE">
        <w:rPr>
          <w:rFonts w:ascii="Times New Roman" w:hAnsi="Times New Roman"/>
          <w:sz w:val="24"/>
          <w:szCs w:val="24"/>
        </w:rPr>
        <w:t xml:space="preserve"> (</w:t>
      </w:r>
      <w:proofErr w:type="spellStart"/>
      <w:r w:rsidR="00BB1EAE">
        <w:rPr>
          <w:rFonts w:ascii="Times New Roman" w:hAnsi="Times New Roman"/>
          <w:sz w:val="24"/>
          <w:szCs w:val="24"/>
        </w:rPr>
        <w:t>Berto</w:t>
      </w:r>
      <w:proofErr w:type="spellEnd"/>
      <w:r w:rsidR="00BB1EAE">
        <w:rPr>
          <w:rFonts w:ascii="Times New Roman" w:hAnsi="Times New Roman"/>
          <w:sz w:val="24"/>
          <w:szCs w:val="24"/>
        </w:rPr>
        <w:t xml:space="preserve">, </w:t>
      </w:r>
      <w:proofErr w:type="spellStart"/>
      <w:r w:rsidR="00BB1EAE">
        <w:rPr>
          <w:rFonts w:ascii="Times New Roman" w:hAnsi="Times New Roman"/>
          <w:sz w:val="24"/>
          <w:szCs w:val="24"/>
        </w:rPr>
        <w:t>D’Ilario</w:t>
      </w:r>
      <w:proofErr w:type="spellEnd"/>
      <w:r w:rsidR="00BB1EAE">
        <w:rPr>
          <w:rFonts w:ascii="Times New Roman" w:hAnsi="Times New Roman"/>
          <w:sz w:val="24"/>
          <w:szCs w:val="24"/>
        </w:rPr>
        <w:t>, Ruffo, Di Virgilio &amp; Rizzo, 2000)</w:t>
      </w:r>
      <w:r>
        <w:rPr>
          <w:rFonts w:ascii="Times New Roman" w:hAnsi="Times New Roman"/>
          <w:sz w:val="24"/>
          <w:szCs w:val="24"/>
        </w:rPr>
        <w:t xml:space="preserve">. A diferencia de otras condiciones médicas, como las enfermedades cardiacas o la diabetes, los costos indirectos asociados a las </w:t>
      </w:r>
      <w:r>
        <w:rPr>
          <w:rFonts w:ascii="Times New Roman" w:hAnsi="Times New Roman"/>
          <w:sz w:val="24"/>
          <w:szCs w:val="24"/>
        </w:rPr>
        <w:lastRenderedPageBreak/>
        <w:t>enfermedades de salud mental y abuso de sustancias generalmente igualan o exceden los costos directos del tratamiento</w:t>
      </w:r>
      <w:r w:rsidR="00BB1EAE">
        <w:rPr>
          <w:rFonts w:ascii="Times New Roman" w:hAnsi="Times New Roman"/>
          <w:sz w:val="24"/>
          <w:szCs w:val="24"/>
        </w:rPr>
        <w:t xml:space="preserve"> (Insel, 2008)</w:t>
      </w:r>
      <w:r>
        <w:rPr>
          <w:rFonts w:ascii="Times New Roman" w:hAnsi="Times New Roman"/>
          <w:sz w:val="24"/>
          <w:szCs w:val="24"/>
        </w:rPr>
        <w:t>.</w:t>
      </w:r>
    </w:p>
    <w:p w14:paraId="492888CE" w14:textId="30CF62AC" w:rsidR="00653E90" w:rsidRDefault="00653E90" w:rsidP="002B6696">
      <w:pPr>
        <w:spacing w:line="360" w:lineRule="auto"/>
        <w:ind w:firstLine="720"/>
        <w:jc w:val="both"/>
        <w:rPr>
          <w:rFonts w:ascii="Times New Roman" w:hAnsi="Times New Roman"/>
          <w:sz w:val="24"/>
          <w:szCs w:val="24"/>
        </w:rPr>
      </w:pPr>
      <w:r>
        <w:rPr>
          <w:rFonts w:ascii="Times New Roman" w:hAnsi="Times New Roman"/>
          <w:sz w:val="24"/>
          <w:szCs w:val="24"/>
        </w:rPr>
        <w:t xml:space="preserve">Los costos indirectos asociados a las enfermedades mentales incluyen el gasto gubernamental en vivienda, bienestar, educación y justicia, además de los costos vinculados a la pérdida de productividad de las personas </w:t>
      </w:r>
      <w:r w:rsidR="00BB1EAE">
        <w:rPr>
          <w:rFonts w:ascii="Times New Roman" w:hAnsi="Times New Roman"/>
          <w:sz w:val="24"/>
          <w:szCs w:val="24"/>
        </w:rPr>
        <w:t>(</w:t>
      </w:r>
      <w:proofErr w:type="spellStart"/>
      <w:r w:rsidR="00BB1EAE">
        <w:rPr>
          <w:rFonts w:ascii="Times New Roman" w:hAnsi="Times New Roman"/>
          <w:sz w:val="24"/>
          <w:szCs w:val="24"/>
        </w:rPr>
        <w:t>Hu</w:t>
      </w:r>
      <w:proofErr w:type="spellEnd"/>
      <w:r w:rsidR="00BB1EAE">
        <w:rPr>
          <w:rFonts w:ascii="Times New Roman" w:hAnsi="Times New Roman"/>
          <w:sz w:val="24"/>
          <w:szCs w:val="24"/>
        </w:rPr>
        <w:t xml:space="preserve">, 2006; </w:t>
      </w:r>
      <w:proofErr w:type="spellStart"/>
      <w:r w:rsidR="00BB1EAE">
        <w:rPr>
          <w:rFonts w:ascii="Times New Roman" w:hAnsi="Times New Roman"/>
          <w:sz w:val="24"/>
          <w:szCs w:val="24"/>
        </w:rPr>
        <w:t>Mihalopoulos</w:t>
      </w:r>
      <w:proofErr w:type="spellEnd"/>
      <w:r w:rsidR="00BB1EAE">
        <w:rPr>
          <w:rFonts w:ascii="Times New Roman" w:hAnsi="Times New Roman"/>
          <w:sz w:val="24"/>
          <w:szCs w:val="24"/>
        </w:rPr>
        <w:t xml:space="preserve">, Vos, </w:t>
      </w:r>
      <w:proofErr w:type="spellStart"/>
      <w:r w:rsidR="00BB1EAE">
        <w:rPr>
          <w:rFonts w:ascii="Times New Roman" w:hAnsi="Times New Roman"/>
          <w:sz w:val="24"/>
          <w:szCs w:val="24"/>
        </w:rPr>
        <w:t>Pirkis</w:t>
      </w:r>
      <w:proofErr w:type="spellEnd"/>
      <w:r w:rsidR="00BB1EAE">
        <w:rPr>
          <w:rFonts w:ascii="Times New Roman" w:hAnsi="Times New Roman"/>
          <w:sz w:val="24"/>
          <w:szCs w:val="24"/>
        </w:rPr>
        <w:t xml:space="preserve"> &amp; Carter, 2011)</w:t>
      </w:r>
      <w:r>
        <w:rPr>
          <w:rFonts w:ascii="Times New Roman" w:hAnsi="Times New Roman"/>
          <w:sz w:val="24"/>
          <w:szCs w:val="24"/>
        </w:rPr>
        <w:fldChar w:fldCharType="begin"/>
      </w:r>
      <w:r>
        <w:rPr>
          <w:rFonts w:ascii="Times New Roman" w:hAnsi="Times New Roman"/>
          <w:sz w:val="24"/>
          <w:szCs w:val="24"/>
        </w:rPr>
        <w:instrText xml:space="preserve"> ADDIN EN.CITE &lt;EndNote&gt;&lt;Cite&gt;&lt;Author&gt;Hu&lt;/Author&gt;&lt;Year&gt;2006&lt;/Year&gt;&lt;RecNum&gt;144&lt;/RecNum&gt;&lt;DisplayText&gt;(31, 32)&lt;/DisplayText&gt;&lt;record&gt;&lt;rec-number&gt;144&lt;/rec-number&gt;&lt;foreign-keys&gt;&lt;key app="EN" db-id="z0s9dzezletx2iepw53pdewxrx9ezfp0x0ed" timestamp="1407178582"&gt;144&lt;/key&gt;&lt;/foreign-keys&gt;&lt;ref-type name="Journal Article"&gt;17&lt;/ref-type&gt;&lt;contributors&gt;&lt;authors&gt;&lt;author&gt;Hu, T&lt;/author&gt;&lt;/authors&gt;&lt;/contributors&gt;&lt;titles&gt;&lt;title&gt;Perspectives: an international review of the national cost estimates of mental illness, 1990-2003&lt;/title&gt;&lt;secondary-title&gt;J Mental Health Policy &lt;/secondary-title&gt;&lt;/titles&gt;&lt;periodical&gt;&lt;full-title&gt;J Mental Health Policy&lt;/full-title&gt;&lt;/periodical&gt;&lt;pages&gt;3-13&lt;/pages&gt;&lt;volume&gt;9&lt;/volume&gt;&lt;number&gt;1&lt;/number&gt;&lt;dates&gt;&lt;year&gt;2006&lt;/year&gt;&lt;/dates&gt;&lt;urls&gt;&lt;/urls&gt;&lt;/record&gt;&lt;/Cite&gt;&lt;Cite&gt;&lt;Author&gt;Mihalopoulos&lt;/Author&gt;&lt;Year&gt;2011&lt;/Year&gt;&lt;RecNum&gt;145&lt;/RecNum&gt;&lt;record&gt;&lt;rec-number&gt;145&lt;/rec-number&gt;&lt;foreign-keys&gt;&lt;key app="EN" db-id="z0s9dzezletx2iepw53pdewxrx9ezfp0x0ed" timestamp="1407178694"&gt;145&lt;/key&gt;&lt;/foreign-keys&gt;&lt;ref-type name="Journal Article"&gt;17&lt;/ref-type&gt;&lt;contributors&gt;&lt;authors&gt;&lt;author&gt;Mihalopoulos, C&lt;/author&gt;&lt;author&gt;Vos, T&lt;/author&gt;&lt;author&gt;Pirkis, J&lt;/author&gt;&lt;author&gt;Carter, R&lt;/author&gt;&lt;/authors&gt;&lt;/contributors&gt;&lt;titles&gt;&lt;title&gt;The Economic Analysis of Prevention in Mental Health Programs&lt;/title&gt;&lt;secondary-title&gt;Annu Rev Clin Psycho &lt;/secondary-title&gt;&lt;/titles&gt;&lt;periodical&gt;&lt;full-title&gt;Annu Rev Clin Psycho&lt;/full-title&gt;&lt;/periodical&gt;&lt;pages&gt;169-201&lt;/pages&gt;&lt;volume&gt;7&lt;/volume&gt;&lt;dates&gt;&lt;year&gt;2011&lt;/year&gt;&lt;/dates&gt;&lt;urls&gt;&lt;/urls&gt;&lt;/record&gt;&lt;/Cite&gt;&lt;/EndNote&gt;</w:instrText>
      </w:r>
      <w:r>
        <w:rPr>
          <w:rFonts w:ascii="Times New Roman" w:hAnsi="Times New Roman"/>
          <w:sz w:val="24"/>
          <w:szCs w:val="24"/>
        </w:rPr>
        <w:fldChar w:fldCharType="end"/>
      </w:r>
      <w:r>
        <w:rPr>
          <w:rFonts w:ascii="Times New Roman" w:hAnsi="Times New Roman"/>
          <w:sz w:val="24"/>
          <w:szCs w:val="24"/>
        </w:rPr>
        <w:t>. Considerando diversos países, la tasa de ausentismo laboral por problemas de salud mental se ha estimado entre el 35% y 45%</w:t>
      </w:r>
      <w:r w:rsidR="005F6150">
        <w:rPr>
          <w:rFonts w:ascii="Times New Roman" w:hAnsi="Times New Roman"/>
          <w:sz w:val="24"/>
          <w:szCs w:val="24"/>
        </w:rPr>
        <w:t xml:space="preserve"> (WHO, 2013)</w:t>
      </w:r>
      <w:r>
        <w:rPr>
          <w:rFonts w:ascii="Times New Roman" w:hAnsi="Times New Roman"/>
          <w:sz w:val="24"/>
          <w:szCs w:val="24"/>
        </w:rPr>
        <w:t xml:space="preserve">. En Chile, los trastornos mentales y del comportamiento ocupan el primer lugar en el gasto por licencias curativas, concentrando 19,3%, del gasto total por subsidio de cargo de las </w:t>
      </w:r>
      <w:proofErr w:type="spellStart"/>
      <w:r>
        <w:rPr>
          <w:rFonts w:ascii="Times New Roman" w:hAnsi="Times New Roman"/>
          <w:sz w:val="24"/>
          <w:szCs w:val="24"/>
        </w:rPr>
        <w:t>Isapres</w:t>
      </w:r>
      <w:proofErr w:type="spellEnd"/>
      <w:r w:rsidR="005F6150">
        <w:rPr>
          <w:rFonts w:ascii="Times New Roman" w:hAnsi="Times New Roman"/>
          <w:sz w:val="24"/>
          <w:szCs w:val="24"/>
        </w:rPr>
        <w:t xml:space="preserve"> (Superintendencia de Salud, 2013)</w:t>
      </w:r>
      <w:r>
        <w:rPr>
          <w:rFonts w:ascii="Times New Roman" w:hAnsi="Times New Roman"/>
          <w:sz w:val="24"/>
          <w:szCs w:val="24"/>
        </w:rPr>
        <w:t>. Con un 18,2%, estos trastornos representan el segundo mayor gasto en licencias médicas tramitadas. De éstas, 53,8% son por episodios depresivos, 21,8% por trastornos de ansiedad y 16,8% por estrés grave y trastornos de adaptación. En general, la mayor prevalencia de sintomatología depresiva ocurre precisamente en la población en edad laboral</w:t>
      </w:r>
      <w:r w:rsidR="005F6150">
        <w:rPr>
          <w:rFonts w:ascii="Times New Roman" w:hAnsi="Times New Roman"/>
          <w:sz w:val="24"/>
          <w:szCs w:val="24"/>
        </w:rPr>
        <w:t xml:space="preserve"> (MINSAL, 2013)</w:t>
      </w:r>
      <w:r>
        <w:rPr>
          <w:rFonts w:ascii="Times New Roman" w:hAnsi="Times New Roman"/>
          <w:sz w:val="24"/>
          <w:szCs w:val="24"/>
        </w:rPr>
        <w:t>.</w:t>
      </w:r>
    </w:p>
    <w:p w14:paraId="331532CF" w14:textId="2B10F43B" w:rsidR="00653E90" w:rsidRDefault="00653E90" w:rsidP="002B6696">
      <w:pPr>
        <w:spacing w:line="360" w:lineRule="auto"/>
        <w:ind w:firstLine="720"/>
        <w:jc w:val="both"/>
        <w:rPr>
          <w:rFonts w:ascii="Times New Roman" w:hAnsi="Times New Roman"/>
          <w:sz w:val="24"/>
          <w:szCs w:val="24"/>
        </w:rPr>
      </w:pPr>
      <w:r>
        <w:rPr>
          <w:rFonts w:ascii="Times New Roman" w:hAnsi="Times New Roman"/>
          <w:sz w:val="24"/>
          <w:szCs w:val="24"/>
        </w:rPr>
        <w:t>Los costos sociales vinculados a las enfermedades mentales también son altos. Los trastornos de salud mental están asociados al abuso de sustancias y a la pobreza. Ya que sufrir de un trastorno mental implica pérdida de productividad y el costo de un tratamiento a largo plazo, esto contribuye a mantener una situación de pobreza; al mismo tiempo, vivir en situación de pobreza contribuye a la aparición y mantención de los trastornos mentales, generando un círculo vicioso</w:t>
      </w:r>
      <w:r w:rsidR="005F6150">
        <w:rPr>
          <w:rFonts w:ascii="Times New Roman" w:hAnsi="Times New Roman"/>
          <w:sz w:val="24"/>
          <w:szCs w:val="24"/>
        </w:rPr>
        <w:t xml:space="preserve"> (WHO, 2013)</w:t>
      </w:r>
      <w:r>
        <w:rPr>
          <w:rFonts w:ascii="Times New Roman" w:hAnsi="Times New Roman"/>
          <w:sz w:val="24"/>
          <w:szCs w:val="24"/>
        </w:rPr>
        <w:t>. La depresión es 1,5 a 2 veces más frecuente en personas de nivel socioeconómico bajo que en personas de nivel socioeconómico alto, siendo la pobreza un factor que contribuyente significativamente al desarrollo de enfermedades mentales</w:t>
      </w:r>
      <w:r w:rsidR="005F6150">
        <w:rPr>
          <w:rFonts w:ascii="Times New Roman" w:hAnsi="Times New Roman"/>
          <w:sz w:val="24"/>
          <w:szCs w:val="24"/>
        </w:rPr>
        <w:t xml:space="preserve"> (WHO, 2013; OMS, 2013; </w:t>
      </w:r>
      <w:proofErr w:type="spellStart"/>
      <w:r w:rsidR="005F6150">
        <w:rPr>
          <w:rFonts w:ascii="Times New Roman" w:hAnsi="Times New Roman"/>
          <w:sz w:val="24"/>
          <w:szCs w:val="24"/>
        </w:rPr>
        <w:t>Vöhringer</w:t>
      </w:r>
      <w:proofErr w:type="spellEnd"/>
      <w:r w:rsidR="005F6150">
        <w:rPr>
          <w:rFonts w:ascii="Times New Roman" w:hAnsi="Times New Roman"/>
          <w:sz w:val="24"/>
          <w:szCs w:val="24"/>
        </w:rPr>
        <w:t xml:space="preserve"> et al., 2013)</w:t>
      </w:r>
      <w:r>
        <w:rPr>
          <w:rFonts w:ascii="Times New Roman" w:hAnsi="Times New Roman"/>
          <w:sz w:val="24"/>
          <w:szCs w:val="24"/>
        </w:rPr>
        <w:t xml:space="preserve">. Es más, la Organización Mundial de la Salud considera que sin una inversión adecuada en salud mental se perpetua el círculo de la pobreza y se detiene el desarrollo </w:t>
      </w:r>
      <w:r w:rsidR="005F6150">
        <w:rPr>
          <w:rFonts w:ascii="Times New Roman" w:hAnsi="Times New Roman"/>
          <w:sz w:val="24"/>
          <w:szCs w:val="24"/>
        </w:rPr>
        <w:t>(WHO, 2013)</w:t>
      </w:r>
      <w:r>
        <w:rPr>
          <w:rFonts w:ascii="Times New Roman" w:hAnsi="Times New Roman"/>
          <w:sz w:val="24"/>
          <w:szCs w:val="24"/>
        </w:rPr>
        <w:fldChar w:fldCharType="begin"/>
      </w:r>
      <w:r>
        <w:rPr>
          <w:rFonts w:ascii="Times New Roman" w:hAnsi="Times New Roman"/>
          <w:sz w:val="24"/>
          <w:szCs w:val="24"/>
        </w:rPr>
        <w:instrText xml:space="preserve"> ADDIN EN.CITE &lt;EndNote&gt;&lt;Cite&gt;&lt;Year&gt;2013&lt;/Year&gt;&lt;RecNum&gt;126&lt;/RecNum&gt;&lt;DisplayText&gt;(12)&lt;/DisplayText&gt;&lt;record&gt;&lt;rec-number&gt;126&lt;/rec-number&gt;&lt;foreign-keys&gt;&lt;key app="EN" db-id="z0s9dzezletx2iepw53pdewxrx9ezfp0x0ed" timestamp="1407175923"&gt;126&lt;/key&gt;&lt;/foreign-keys&gt;&lt;ref-type name="Report"&gt;27&lt;/ref-type&gt;&lt;contributors&gt;&lt;/contributors&gt;&lt;titles&gt;&lt;title&gt;World Health Organization. Investing in mental health. Evidence for action&lt;/title&gt;&lt;/titles&gt;&lt;dates&gt;&lt;year&gt;2013&lt;/year&gt;&lt;/dates&gt;&lt;pub-location&gt;Geneva&lt;/pub-location&gt;&lt;publisher&gt;World Health Organization&lt;/publisher&gt;&lt;urls&gt;&lt;/urls&gt;&lt;/record&gt;&lt;/Cite&gt;&lt;/EndNote&gt;</w:instrText>
      </w:r>
      <w:r>
        <w:rPr>
          <w:rFonts w:ascii="Times New Roman" w:hAnsi="Times New Roman"/>
          <w:sz w:val="24"/>
          <w:szCs w:val="24"/>
        </w:rPr>
        <w:fldChar w:fldCharType="end"/>
      </w:r>
      <w:r>
        <w:rPr>
          <w:rFonts w:ascii="Times New Roman" w:hAnsi="Times New Roman"/>
          <w:sz w:val="24"/>
          <w:szCs w:val="24"/>
        </w:rPr>
        <w:t>.</w:t>
      </w:r>
    </w:p>
    <w:p w14:paraId="4F4AFF39" w14:textId="715658BF" w:rsidR="00653E90" w:rsidRDefault="00653E90" w:rsidP="57FB4585">
      <w:pPr>
        <w:spacing w:line="360" w:lineRule="auto"/>
        <w:ind w:firstLine="720"/>
        <w:jc w:val="both"/>
        <w:rPr>
          <w:rFonts w:ascii="Times New Roman" w:hAnsi="Times New Roman"/>
          <w:sz w:val="24"/>
          <w:szCs w:val="24"/>
        </w:rPr>
      </w:pPr>
      <w:r>
        <w:rPr>
          <w:rFonts w:ascii="Times New Roman" w:hAnsi="Times New Roman"/>
          <w:sz w:val="24"/>
          <w:szCs w:val="24"/>
        </w:rPr>
        <w:t>Las enfermedades mentales aumentan el uso y costos de los servicios generales de salud</w:t>
      </w:r>
      <w:r w:rsidR="005F6150">
        <w:rPr>
          <w:rFonts w:ascii="Times New Roman" w:hAnsi="Times New Roman"/>
          <w:sz w:val="24"/>
          <w:szCs w:val="24"/>
        </w:rPr>
        <w:t xml:space="preserve"> (WHO, 2013)</w:t>
      </w:r>
      <w:r>
        <w:rPr>
          <w:rFonts w:ascii="Times New Roman" w:hAnsi="Times New Roman"/>
          <w:sz w:val="24"/>
          <w:szCs w:val="24"/>
        </w:rPr>
        <w:t xml:space="preserve">. Tanto las personas portadoras de condiciones médicas crónicas como las que presentan trastornos mentales o abuso de sustancias no tratadas tienen más complicaciones y deben asumir mayores costos en tratamientos médicos. Las enfermedades mentales generan importantes impedimentos para el autocuidado y para la adherencia y </w:t>
      </w:r>
      <w:r>
        <w:rPr>
          <w:rFonts w:ascii="Times New Roman" w:hAnsi="Times New Roman"/>
          <w:sz w:val="24"/>
          <w:szCs w:val="24"/>
        </w:rPr>
        <w:lastRenderedPageBreak/>
        <w:t>respuesta a tratamientos de otras enfermedades. En particular, la depresión se presenta en el 25% de los pacientes que consultan en atención primaria</w:t>
      </w:r>
      <w:r w:rsidR="005F6150">
        <w:rPr>
          <w:rFonts w:ascii="Times New Roman" w:hAnsi="Times New Roman"/>
          <w:sz w:val="24"/>
          <w:szCs w:val="24"/>
        </w:rPr>
        <w:t xml:space="preserve"> (</w:t>
      </w:r>
      <w:proofErr w:type="spellStart"/>
      <w:r w:rsidR="005F6150">
        <w:rPr>
          <w:rFonts w:ascii="Times New Roman" w:hAnsi="Times New Roman"/>
          <w:sz w:val="24"/>
          <w:szCs w:val="24"/>
        </w:rPr>
        <w:t>Vöhringer</w:t>
      </w:r>
      <w:proofErr w:type="spellEnd"/>
      <w:r w:rsidR="005F6150">
        <w:rPr>
          <w:rFonts w:ascii="Times New Roman" w:hAnsi="Times New Roman"/>
          <w:sz w:val="24"/>
          <w:szCs w:val="24"/>
        </w:rPr>
        <w:t>, 2013)</w:t>
      </w:r>
      <w:r>
        <w:rPr>
          <w:rFonts w:ascii="Times New Roman" w:hAnsi="Times New Roman"/>
          <w:sz w:val="24"/>
          <w:szCs w:val="24"/>
        </w:rPr>
        <w:t>.  Esta enfermedad aumenta en un 60% la probabilidad de sufrir diabetes tipo 2</w:t>
      </w:r>
      <w:r w:rsidR="005F6150">
        <w:rPr>
          <w:rFonts w:ascii="Times New Roman" w:hAnsi="Times New Roman"/>
          <w:sz w:val="24"/>
          <w:szCs w:val="24"/>
        </w:rPr>
        <w:t xml:space="preserve"> (</w:t>
      </w:r>
      <w:proofErr w:type="spellStart"/>
      <w:r w:rsidR="005F6150">
        <w:rPr>
          <w:rFonts w:ascii="Times New Roman" w:hAnsi="Times New Roman"/>
          <w:sz w:val="24"/>
          <w:szCs w:val="24"/>
        </w:rPr>
        <w:t>Mezuk</w:t>
      </w:r>
      <w:proofErr w:type="spellEnd"/>
      <w:r w:rsidR="005F6150">
        <w:rPr>
          <w:rFonts w:ascii="Times New Roman" w:hAnsi="Times New Roman"/>
          <w:sz w:val="24"/>
          <w:szCs w:val="24"/>
        </w:rPr>
        <w:t>, Eaton, Albrecht &amp; Golden, 2008)</w:t>
      </w:r>
      <w:r>
        <w:rPr>
          <w:rFonts w:ascii="Times New Roman" w:hAnsi="Times New Roman"/>
          <w:sz w:val="24"/>
          <w:szCs w:val="24"/>
        </w:rPr>
        <w:t xml:space="preserve">, incrementa significativamente el riesgo de padecer Alzheimer </w:t>
      </w:r>
      <w:r w:rsidR="005F6150">
        <w:rPr>
          <w:rFonts w:ascii="Times New Roman" w:hAnsi="Times New Roman"/>
          <w:sz w:val="24"/>
          <w:szCs w:val="24"/>
        </w:rPr>
        <w:t xml:space="preserve">(Andersen, </w:t>
      </w:r>
      <w:proofErr w:type="spellStart"/>
      <w:r w:rsidR="005F6150">
        <w:rPr>
          <w:rFonts w:ascii="Times New Roman" w:hAnsi="Times New Roman"/>
          <w:sz w:val="24"/>
          <w:szCs w:val="24"/>
        </w:rPr>
        <w:t>Lolk</w:t>
      </w:r>
      <w:proofErr w:type="spellEnd"/>
      <w:r w:rsidR="005F6150">
        <w:rPr>
          <w:rFonts w:ascii="Times New Roman" w:hAnsi="Times New Roman"/>
          <w:sz w:val="24"/>
          <w:szCs w:val="24"/>
        </w:rPr>
        <w:t xml:space="preserve">, </w:t>
      </w:r>
      <w:proofErr w:type="spellStart"/>
      <w:r w:rsidR="005F6150">
        <w:rPr>
          <w:rFonts w:ascii="Times New Roman" w:hAnsi="Times New Roman"/>
          <w:sz w:val="24"/>
          <w:szCs w:val="24"/>
        </w:rPr>
        <w:t>Kragh-Sorensen</w:t>
      </w:r>
      <w:proofErr w:type="spellEnd"/>
      <w:r w:rsidR="005F6150">
        <w:rPr>
          <w:rFonts w:ascii="Times New Roman" w:hAnsi="Times New Roman"/>
          <w:sz w:val="24"/>
          <w:szCs w:val="24"/>
        </w:rPr>
        <w:t>, Petersen &amp; Green, 2005)</w:t>
      </w:r>
      <w:r>
        <w:rPr>
          <w:rFonts w:ascii="Times New Roman" w:hAnsi="Times New Roman"/>
          <w:sz w:val="24"/>
          <w:szCs w:val="24"/>
        </w:rPr>
        <w:t xml:space="preserve"> y triplica el riesgo de morir de una enfermedad cardiaca</w:t>
      </w:r>
      <w:r w:rsidR="005F6150">
        <w:rPr>
          <w:rFonts w:ascii="Times New Roman" w:hAnsi="Times New Roman"/>
          <w:sz w:val="24"/>
          <w:szCs w:val="24"/>
        </w:rPr>
        <w:t xml:space="preserve"> (</w:t>
      </w:r>
      <w:proofErr w:type="spellStart"/>
      <w:r w:rsidR="005F6150">
        <w:rPr>
          <w:rFonts w:ascii="Times New Roman" w:hAnsi="Times New Roman"/>
          <w:sz w:val="24"/>
          <w:szCs w:val="24"/>
        </w:rPr>
        <w:t>Zielgestein</w:t>
      </w:r>
      <w:proofErr w:type="spellEnd"/>
      <w:r w:rsidR="005F6150">
        <w:rPr>
          <w:rFonts w:ascii="Times New Roman" w:hAnsi="Times New Roman"/>
          <w:sz w:val="24"/>
          <w:szCs w:val="24"/>
        </w:rPr>
        <w:t>, 2001)</w:t>
      </w:r>
      <w:r>
        <w:rPr>
          <w:rFonts w:ascii="Times New Roman" w:hAnsi="Times New Roman"/>
          <w:sz w:val="24"/>
          <w:szCs w:val="24"/>
        </w:rPr>
        <w:t>. Las personas con depresión severa reportan cuatro veces más dolor de cuello y espalda que aquéllos sin depresión o con depresión leve. En el caso de quienes sufren de diabetes, el tener depresión aumenta en 4,5 veces los costos de salud. Asimismo, aquellas personas que tienen tanto depresión como dolor de espalda faltan el doble al trabajo y duplican los costos médicos en comparación con quienes tienen sólo uno de estos diagnósticos</w:t>
      </w:r>
      <w:r w:rsidR="005F6150">
        <w:rPr>
          <w:rFonts w:ascii="Times New Roman" w:hAnsi="Times New Roman"/>
          <w:sz w:val="24"/>
          <w:szCs w:val="24"/>
        </w:rPr>
        <w:t xml:space="preserve"> (</w:t>
      </w:r>
      <w:proofErr w:type="spellStart"/>
      <w:r w:rsidR="005F6150">
        <w:rPr>
          <w:rFonts w:ascii="Times New Roman" w:hAnsi="Times New Roman"/>
          <w:sz w:val="24"/>
          <w:szCs w:val="24"/>
        </w:rPr>
        <w:t>Mezul</w:t>
      </w:r>
      <w:proofErr w:type="spellEnd"/>
      <w:r w:rsidR="005F6150">
        <w:rPr>
          <w:rFonts w:ascii="Times New Roman" w:hAnsi="Times New Roman"/>
          <w:sz w:val="24"/>
          <w:szCs w:val="24"/>
        </w:rPr>
        <w:t xml:space="preserve"> et al., 2008; Andersen et al., 2005; </w:t>
      </w:r>
      <w:proofErr w:type="spellStart"/>
      <w:r w:rsidR="005F6150">
        <w:rPr>
          <w:rFonts w:ascii="Times New Roman" w:hAnsi="Times New Roman"/>
          <w:sz w:val="24"/>
          <w:szCs w:val="24"/>
        </w:rPr>
        <w:t>Zielgestein</w:t>
      </w:r>
      <w:proofErr w:type="spellEnd"/>
      <w:r w:rsidR="005F6150">
        <w:rPr>
          <w:rFonts w:ascii="Times New Roman" w:hAnsi="Times New Roman"/>
          <w:sz w:val="24"/>
          <w:szCs w:val="24"/>
        </w:rPr>
        <w:t xml:space="preserve">, 2011; </w:t>
      </w:r>
      <w:proofErr w:type="spellStart"/>
      <w:r w:rsidR="005F6150">
        <w:rPr>
          <w:rFonts w:ascii="Times New Roman" w:hAnsi="Times New Roman"/>
          <w:sz w:val="24"/>
          <w:szCs w:val="24"/>
        </w:rPr>
        <w:t>National</w:t>
      </w:r>
      <w:proofErr w:type="spellEnd"/>
      <w:r w:rsidR="005F6150">
        <w:rPr>
          <w:rFonts w:ascii="Times New Roman" w:hAnsi="Times New Roman"/>
          <w:sz w:val="24"/>
          <w:szCs w:val="24"/>
        </w:rPr>
        <w:t xml:space="preserve"> Business </w:t>
      </w:r>
      <w:proofErr w:type="spellStart"/>
      <w:r w:rsidR="005F6150">
        <w:rPr>
          <w:rFonts w:ascii="Times New Roman" w:hAnsi="Times New Roman"/>
          <w:sz w:val="24"/>
          <w:szCs w:val="24"/>
        </w:rPr>
        <w:t>Group</w:t>
      </w:r>
      <w:proofErr w:type="spellEnd"/>
      <w:r w:rsidR="005F6150">
        <w:rPr>
          <w:rFonts w:ascii="Times New Roman" w:hAnsi="Times New Roman"/>
          <w:sz w:val="24"/>
          <w:szCs w:val="24"/>
        </w:rPr>
        <w:t xml:space="preserve"> </w:t>
      </w:r>
      <w:proofErr w:type="spellStart"/>
      <w:r w:rsidR="005F6150">
        <w:rPr>
          <w:rFonts w:ascii="Times New Roman" w:hAnsi="Times New Roman"/>
          <w:sz w:val="24"/>
          <w:szCs w:val="24"/>
        </w:rPr>
        <w:t>on</w:t>
      </w:r>
      <w:proofErr w:type="spellEnd"/>
      <w:r w:rsidR="005F6150">
        <w:rPr>
          <w:rFonts w:ascii="Times New Roman" w:hAnsi="Times New Roman"/>
          <w:sz w:val="24"/>
          <w:szCs w:val="24"/>
        </w:rPr>
        <w:t xml:space="preserve"> </w:t>
      </w:r>
      <w:proofErr w:type="spellStart"/>
      <w:r w:rsidR="005F6150">
        <w:rPr>
          <w:rFonts w:ascii="Times New Roman" w:hAnsi="Times New Roman"/>
          <w:sz w:val="24"/>
          <w:szCs w:val="24"/>
        </w:rPr>
        <w:t>Health</w:t>
      </w:r>
      <w:proofErr w:type="spellEnd"/>
      <w:r w:rsidR="005F6150">
        <w:rPr>
          <w:rFonts w:ascii="Times New Roman" w:hAnsi="Times New Roman"/>
          <w:sz w:val="24"/>
          <w:szCs w:val="24"/>
        </w:rPr>
        <w:t>, 2005)</w:t>
      </w:r>
      <w:r>
        <w:rPr>
          <w:rFonts w:ascii="Times New Roman" w:hAnsi="Times New Roman"/>
          <w:sz w:val="24"/>
          <w:szCs w:val="24"/>
        </w:rPr>
        <w:t xml:space="preserve">. </w:t>
      </w:r>
    </w:p>
    <w:p w14:paraId="0B2E0740" w14:textId="216B27BC" w:rsidR="00653E90" w:rsidRDefault="00653E90" w:rsidP="002B6696">
      <w:pPr>
        <w:spacing w:line="360" w:lineRule="auto"/>
        <w:ind w:firstLine="720"/>
        <w:jc w:val="both"/>
        <w:rPr>
          <w:rFonts w:ascii="Times New Roman" w:hAnsi="Times New Roman"/>
          <w:sz w:val="24"/>
          <w:szCs w:val="24"/>
        </w:rPr>
      </w:pPr>
      <w:r>
        <w:rPr>
          <w:rFonts w:ascii="Times New Roman" w:hAnsi="Times New Roman"/>
          <w:sz w:val="24"/>
          <w:szCs w:val="24"/>
        </w:rPr>
        <w:t>La eficacia del tratamiento de enfermedades mentales y abuso de sustancias ha sido demostrada empíricamente durante las últimas décadas. Cada vez más la evidencia económica indica que existen intervenciones para los trastornos mentales, tales como la esquizofrenia o la depresión, que son eficaces, asequibles y rentables</w:t>
      </w:r>
      <w:r w:rsidR="005F6150">
        <w:rPr>
          <w:rFonts w:ascii="Times New Roman" w:hAnsi="Times New Roman"/>
          <w:sz w:val="24"/>
          <w:szCs w:val="24"/>
        </w:rPr>
        <w:t xml:space="preserve"> (WHO, 2013)</w:t>
      </w:r>
      <w:r>
        <w:rPr>
          <w:rFonts w:ascii="Times New Roman" w:hAnsi="Times New Roman"/>
          <w:sz w:val="24"/>
          <w:szCs w:val="24"/>
        </w:rPr>
        <w:t>. El tratamiento adecuado de las patologías psiquiátricas mejora la salud general de las personas, disminuye los días de trabajo perdidos y la incapacidad laboral</w:t>
      </w:r>
      <w:r w:rsidR="005F6150">
        <w:rPr>
          <w:rFonts w:ascii="Times New Roman" w:hAnsi="Times New Roman"/>
          <w:sz w:val="24"/>
          <w:szCs w:val="24"/>
        </w:rPr>
        <w:t xml:space="preserve"> (WHO, 2001)</w:t>
      </w:r>
      <w:r>
        <w:rPr>
          <w:rFonts w:ascii="Times New Roman" w:hAnsi="Times New Roman"/>
          <w:sz w:val="24"/>
          <w:szCs w:val="24"/>
        </w:rPr>
        <w:t>. A su vez, los tratamientos de salud mental reducen la necesidad de hospitalizaciones y atención de emergencia, y mejoran los indicadores de salud de las personas con diabetes, cáncer, enfermedades cardiacas, dolor crónico y otras enfermedades graves</w:t>
      </w:r>
      <w:r w:rsidR="005F6150">
        <w:rPr>
          <w:rFonts w:ascii="Times New Roman" w:hAnsi="Times New Roman"/>
          <w:sz w:val="24"/>
          <w:szCs w:val="24"/>
        </w:rPr>
        <w:t xml:space="preserve"> (</w:t>
      </w:r>
      <w:proofErr w:type="spellStart"/>
      <w:r w:rsidR="005F6150">
        <w:rPr>
          <w:rFonts w:ascii="Times New Roman" w:hAnsi="Times New Roman"/>
          <w:sz w:val="24"/>
          <w:szCs w:val="24"/>
        </w:rPr>
        <w:t>National</w:t>
      </w:r>
      <w:proofErr w:type="spellEnd"/>
      <w:r w:rsidR="005F6150">
        <w:rPr>
          <w:rFonts w:ascii="Times New Roman" w:hAnsi="Times New Roman"/>
          <w:sz w:val="24"/>
          <w:szCs w:val="24"/>
        </w:rPr>
        <w:t xml:space="preserve"> Business </w:t>
      </w:r>
      <w:proofErr w:type="spellStart"/>
      <w:r w:rsidR="005F6150">
        <w:rPr>
          <w:rFonts w:ascii="Times New Roman" w:hAnsi="Times New Roman"/>
          <w:sz w:val="24"/>
          <w:szCs w:val="24"/>
        </w:rPr>
        <w:t>Group</w:t>
      </w:r>
      <w:proofErr w:type="spellEnd"/>
      <w:r w:rsidR="005F6150">
        <w:rPr>
          <w:rFonts w:ascii="Times New Roman" w:hAnsi="Times New Roman"/>
          <w:sz w:val="24"/>
          <w:szCs w:val="24"/>
        </w:rPr>
        <w:t xml:space="preserve"> </w:t>
      </w:r>
      <w:proofErr w:type="spellStart"/>
      <w:r w:rsidR="005F6150">
        <w:rPr>
          <w:rFonts w:ascii="Times New Roman" w:hAnsi="Times New Roman"/>
          <w:sz w:val="24"/>
          <w:szCs w:val="24"/>
        </w:rPr>
        <w:t>of</w:t>
      </w:r>
      <w:proofErr w:type="spellEnd"/>
      <w:r w:rsidR="005F6150">
        <w:rPr>
          <w:rFonts w:ascii="Times New Roman" w:hAnsi="Times New Roman"/>
          <w:sz w:val="24"/>
          <w:szCs w:val="24"/>
        </w:rPr>
        <w:t xml:space="preserve"> </w:t>
      </w:r>
      <w:proofErr w:type="spellStart"/>
      <w:r w:rsidR="005F6150">
        <w:rPr>
          <w:rFonts w:ascii="Times New Roman" w:hAnsi="Times New Roman"/>
          <w:sz w:val="24"/>
          <w:szCs w:val="24"/>
        </w:rPr>
        <w:t>Health</w:t>
      </w:r>
      <w:proofErr w:type="spellEnd"/>
      <w:r w:rsidR="005F6150">
        <w:rPr>
          <w:rFonts w:ascii="Times New Roman" w:hAnsi="Times New Roman"/>
          <w:sz w:val="24"/>
          <w:szCs w:val="24"/>
        </w:rPr>
        <w:t>, 2005; WHO, 2001)</w:t>
      </w:r>
      <w:r>
        <w:rPr>
          <w:rFonts w:ascii="Times New Roman" w:hAnsi="Times New Roman"/>
          <w:sz w:val="24"/>
          <w:szCs w:val="24"/>
        </w:rPr>
        <w:t>. También se ha demostrado que las inversiones dirigidas a promover, prevenir, detectar y tratar tempranamente las enfermedades mentales pueden ser rentable y eficaces, produciendo retornos de la inversión inicial a mediano plazo, auto-financiamiento y disminución de los costos tanto en salud como en otras áreas (</w:t>
      </w:r>
      <w:proofErr w:type="spellStart"/>
      <w:r>
        <w:rPr>
          <w:rFonts w:ascii="Times New Roman" w:hAnsi="Times New Roman"/>
          <w:sz w:val="24"/>
          <w:szCs w:val="24"/>
        </w:rPr>
        <w:t>e.g</w:t>
      </w:r>
      <w:proofErr w:type="spellEnd"/>
      <w:r>
        <w:rPr>
          <w:rFonts w:ascii="Times New Roman" w:hAnsi="Times New Roman"/>
          <w:sz w:val="24"/>
          <w:szCs w:val="24"/>
        </w:rPr>
        <w:t>. criminalidad), la mayoría en un plazo menor a 5 años</w:t>
      </w:r>
      <w:r w:rsidR="005F6150">
        <w:rPr>
          <w:rFonts w:ascii="Times New Roman" w:hAnsi="Times New Roman"/>
          <w:sz w:val="24"/>
          <w:szCs w:val="24"/>
        </w:rPr>
        <w:t xml:space="preserve"> (</w:t>
      </w:r>
      <w:proofErr w:type="spellStart"/>
      <w:r w:rsidR="005F6150">
        <w:rPr>
          <w:rFonts w:ascii="Times New Roman" w:hAnsi="Times New Roman"/>
          <w:sz w:val="24"/>
          <w:szCs w:val="24"/>
        </w:rPr>
        <w:t>Knapp</w:t>
      </w:r>
      <w:proofErr w:type="spellEnd"/>
      <w:r w:rsidR="005F6150">
        <w:rPr>
          <w:rFonts w:ascii="Times New Roman" w:hAnsi="Times New Roman"/>
          <w:sz w:val="24"/>
          <w:szCs w:val="24"/>
        </w:rPr>
        <w:t xml:space="preserve">, </w:t>
      </w:r>
      <w:proofErr w:type="spellStart"/>
      <w:r w:rsidR="005F6150">
        <w:rPr>
          <w:rFonts w:ascii="Times New Roman" w:hAnsi="Times New Roman"/>
          <w:sz w:val="24"/>
          <w:szCs w:val="24"/>
        </w:rPr>
        <w:t>McDaid</w:t>
      </w:r>
      <w:proofErr w:type="spellEnd"/>
      <w:r w:rsidR="005F6150">
        <w:rPr>
          <w:rFonts w:ascii="Times New Roman" w:hAnsi="Times New Roman"/>
          <w:sz w:val="24"/>
          <w:szCs w:val="24"/>
        </w:rPr>
        <w:t xml:space="preserve">, </w:t>
      </w:r>
      <w:proofErr w:type="spellStart"/>
      <w:r w:rsidR="005F6150">
        <w:rPr>
          <w:rFonts w:ascii="Times New Roman" w:hAnsi="Times New Roman"/>
          <w:sz w:val="24"/>
          <w:szCs w:val="24"/>
        </w:rPr>
        <w:t>Mossialos</w:t>
      </w:r>
      <w:proofErr w:type="spellEnd"/>
      <w:r w:rsidR="005F6150">
        <w:rPr>
          <w:rFonts w:ascii="Times New Roman" w:hAnsi="Times New Roman"/>
          <w:sz w:val="24"/>
          <w:szCs w:val="24"/>
        </w:rPr>
        <w:t xml:space="preserve"> &amp; </w:t>
      </w:r>
      <w:proofErr w:type="spellStart"/>
      <w:r w:rsidR="005F6150">
        <w:rPr>
          <w:rFonts w:ascii="Times New Roman" w:hAnsi="Times New Roman"/>
          <w:sz w:val="24"/>
          <w:szCs w:val="24"/>
        </w:rPr>
        <w:t>Thornicroft</w:t>
      </w:r>
      <w:proofErr w:type="spellEnd"/>
      <w:r w:rsidR="005F6150">
        <w:rPr>
          <w:rFonts w:ascii="Times New Roman" w:hAnsi="Times New Roman"/>
          <w:sz w:val="24"/>
          <w:szCs w:val="24"/>
        </w:rPr>
        <w:t xml:space="preserve">, 2007; </w:t>
      </w:r>
      <w:proofErr w:type="spellStart"/>
      <w:r w:rsidR="005F6150">
        <w:rPr>
          <w:rFonts w:ascii="Times New Roman" w:hAnsi="Times New Roman"/>
          <w:sz w:val="24"/>
          <w:szCs w:val="24"/>
        </w:rPr>
        <w:t>Department</w:t>
      </w:r>
      <w:proofErr w:type="spellEnd"/>
      <w:r w:rsidR="005F6150">
        <w:rPr>
          <w:rFonts w:ascii="Times New Roman" w:hAnsi="Times New Roman"/>
          <w:sz w:val="24"/>
          <w:szCs w:val="24"/>
        </w:rPr>
        <w:t xml:space="preserve"> </w:t>
      </w:r>
      <w:proofErr w:type="spellStart"/>
      <w:r w:rsidR="005F6150">
        <w:rPr>
          <w:rFonts w:ascii="Times New Roman" w:hAnsi="Times New Roman"/>
          <w:sz w:val="24"/>
          <w:szCs w:val="24"/>
        </w:rPr>
        <w:t>of</w:t>
      </w:r>
      <w:proofErr w:type="spellEnd"/>
      <w:r w:rsidR="005F6150">
        <w:rPr>
          <w:rFonts w:ascii="Times New Roman" w:hAnsi="Times New Roman"/>
          <w:sz w:val="24"/>
          <w:szCs w:val="24"/>
        </w:rPr>
        <w:t xml:space="preserve"> </w:t>
      </w:r>
      <w:proofErr w:type="spellStart"/>
      <w:r w:rsidR="005F6150">
        <w:rPr>
          <w:rFonts w:ascii="Times New Roman" w:hAnsi="Times New Roman"/>
          <w:sz w:val="24"/>
          <w:szCs w:val="24"/>
        </w:rPr>
        <w:t>Health</w:t>
      </w:r>
      <w:proofErr w:type="spellEnd"/>
      <w:r w:rsidR="005F6150">
        <w:rPr>
          <w:rFonts w:ascii="Times New Roman" w:hAnsi="Times New Roman"/>
          <w:sz w:val="24"/>
          <w:szCs w:val="24"/>
        </w:rPr>
        <w:t>, 2011)</w:t>
      </w:r>
      <w:r>
        <w:rPr>
          <w:rFonts w:ascii="Times New Roman" w:hAnsi="Times New Roman"/>
          <w:sz w:val="24"/>
          <w:szCs w:val="24"/>
        </w:rPr>
        <w:t>. El desarrollo de programas de prevención y promoción de la salud mental dentro de las estrategias generales de los modelos de salud pública ayuda a evitar muertes, reducir el estigma asociado a las personas con trastornos mentales y mejora el entorno social y económico de un país</w:t>
      </w:r>
      <w:r w:rsidR="005F6150">
        <w:rPr>
          <w:rFonts w:ascii="Times New Roman" w:hAnsi="Times New Roman"/>
          <w:sz w:val="24"/>
          <w:szCs w:val="24"/>
        </w:rPr>
        <w:t xml:space="preserve"> (WHO, 2013)</w:t>
      </w:r>
      <w:r>
        <w:rPr>
          <w:rFonts w:ascii="Times New Roman" w:hAnsi="Times New Roman"/>
          <w:sz w:val="24"/>
          <w:szCs w:val="24"/>
        </w:rPr>
        <w:t>.</w:t>
      </w:r>
    </w:p>
    <w:p w14:paraId="7FD8D80C" w14:textId="77777777" w:rsidR="00653E90" w:rsidRDefault="00653E90" w:rsidP="002B6696">
      <w:pPr>
        <w:spacing w:line="360" w:lineRule="auto"/>
        <w:jc w:val="both"/>
        <w:rPr>
          <w:rFonts w:ascii="Times New Roman" w:hAnsi="Times New Roman"/>
          <w:b/>
          <w:sz w:val="24"/>
          <w:szCs w:val="24"/>
        </w:rPr>
      </w:pPr>
    </w:p>
    <w:p w14:paraId="3CE52E3C" w14:textId="77777777" w:rsidR="00653E90" w:rsidRDefault="00653E90" w:rsidP="002B6696">
      <w:pPr>
        <w:spacing w:line="360" w:lineRule="auto"/>
        <w:jc w:val="both"/>
        <w:rPr>
          <w:rFonts w:ascii="Times New Roman" w:hAnsi="Times New Roman"/>
          <w:b/>
          <w:sz w:val="24"/>
          <w:szCs w:val="24"/>
        </w:rPr>
      </w:pPr>
      <w:r>
        <w:rPr>
          <w:rFonts w:ascii="Times New Roman" w:hAnsi="Times New Roman"/>
          <w:b/>
          <w:sz w:val="24"/>
          <w:szCs w:val="24"/>
        </w:rPr>
        <w:t xml:space="preserve">Enfermedades físicas y mentales: un problema de equidad </w:t>
      </w:r>
    </w:p>
    <w:p w14:paraId="3F2B8099" w14:textId="77777777" w:rsidR="00653E90" w:rsidRDefault="00653E90" w:rsidP="002B6696">
      <w:pPr>
        <w:spacing w:line="360" w:lineRule="auto"/>
        <w:jc w:val="both"/>
        <w:rPr>
          <w:rFonts w:ascii="Times New Roman" w:hAnsi="Times New Roman"/>
          <w:sz w:val="24"/>
          <w:szCs w:val="24"/>
        </w:rPr>
      </w:pPr>
      <w:r>
        <w:rPr>
          <w:rFonts w:ascii="Times New Roman" w:hAnsi="Times New Roman"/>
          <w:sz w:val="24"/>
          <w:szCs w:val="24"/>
        </w:rPr>
        <w:t xml:space="preserve">El bajo porcentaje del presupuesto total de salud que es destinado a salud mental no sólo preocupa porque los recursos son insuficientes para prevenir y tratar las patologías mentales, sino que además es una señal de la discriminación que viven las personas con trastornos mentales. </w:t>
      </w:r>
    </w:p>
    <w:p w14:paraId="02F14E65" w14:textId="167D4F3F" w:rsidR="00653E90" w:rsidRDefault="00653E90" w:rsidP="002B6696">
      <w:pPr>
        <w:spacing w:line="360" w:lineRule="auto"/>
        <w:ind w:firstLine="720"/>
        <w:jc w:val="both"/>
        <w:rPr>
          <w:rFonts w:ascii="Times New Roman" w:hAnsi="Times New Roman"/>
          <w:sz w:val="24"/>
          <w:szCs w:val="24"/>
        </w:rPr>
      </w:pPr>
      <w:r>
        <w:rPr>
          <w:rFonts w:ascii="Times New Roman" w:hAnsi="Times New Roman"/>
          <w:sz w:val="24"/>
          <w:szCs w:val="24"/>
        </w:rPr>
        <w:t xml:space="preserve">En Chile existe una diferencia importante en las posibilidades que tienen las personas de tratar sus enfermedades físicas y mentales. Éstas últimas han tenido históricamente una menor cobertura por parte de las distintas instancias de financiamiento, ya sean públicas o privadas, lo que implica una discriminación a hacia los pacientes que sufren patologías mentales. Por ejemplo, el seguro catastrófico de las </w:t>
      </w:r>
      <w:proofErr w:type="spellStart"/>
      <w:r>
        <w:rPr>
          <w:rFonts w:ascii="Times New Roman" w:hAnsi="Times New Roman"/>
          <w:sz w:val="24"/>
          <w:szCs w:val="24"/>
        </w:rPr>
        <w:t>Isapres</w:t>
      </w:r>
      <w:proofErr w:type="spellEnd"/>
      <w:r>
        <w:rPr>
          <w:rFonts w:ascii="Times New Roman" w:hAnsi="Times New Roman"/>
          <w:sz w:val="24"/>
          <w:szCs w:val="24"/>
        </w:rPr>
        <w:t xml:space="preserve"> en Chile excluye dentro de su cobertura todas las hospitalizaciones y tratamientos de patologías psiquiátricas</w:t>
      </w:r>
      <w:r w:rsidR="005F6150">
        <w:rPr>
          <w:rFonts w:ascii="Times New Roman" w:hAnsi="Times New Roman"/>
          <w:sz w:val="24"/>
          <w:szCs w:val="24"/>
        </w:rPr>
        <w:t xml:space="preserve"> (Paleo, 2013)</w:t>
      </w:r>
      <w:r>
        <w:rPr>
          <w:rFonts w:ascii="Times New Roman" w:hAnsi="Times New Roman"/>
          <w:sz w:val="24"/>
          <w:szCs w:val="24"/>
        </w:rPr>
        <w:t xml:space="preserve">. A su vez, los planes de las </w:t>
      </w:r>
      <w:proofErr w:type="spellStart"/>
      <w:r>
        <w:rPr>
          <w:rFonts w:ascii="Times New Roman" w:hAnsi="Times New Roman"/>
          <w:sz w:val="24"/>
          <w:szCs w:val="24"/>
        </w:rPr>
        <w:t>Isapres</w:t>
      </w:r>
      <w:proofErr w:type="spellEnd"/>
      <w:r>
        <w:rPr>
          <w:rFonts w:ascii="Times New Roman" w:hAnsi="Times New Roman"/>
          <w:sz w:val="24"/>
          <w:szCs w:val="24"/>
        </w:rPr>
        <w:t xml:space="preserve"> presentan en las consultas y tratamiento de psiquiatría y psicología una cobertura notablemente inferior que las enfermedades físicas. </w:t>
      </w:r>
    </w:p>
    <w:p w14:paraId="7E591FE0" w14:textId="73BA9A82" w:rsidR="00653E90" w:rsidRDefault="00653E90" w:rsidP="002B6696">
      <w:pPr>
        <w:spacing w:line="360" w:lineRule="auto"/>
        <w:ind w:firstLine="720"/>
        <w:jc w:val="both"/>
        <w:rPr>
          <w:rFonts w:ascii="Times New Roman" w:hAnsi="Times New Roman"/>
          <w:sz w:val="24"/>
          <w:szCs w:val="24"/>
        </w:rPr>
      </w:pPr>
      <w:r>
        <w:rPr>
          <w:rFonts w:ascii="Times New Roman" w:hAnsi="Times New Roman"/>
          <w:sz w:val="24"/>
          <w:szCs w:val="24"/>
        </w:rPr>
        <w:t>El caso de Estados Unidos refleja un intento por combatir la inequidad entre la salud mental y física. En 2008 se promulgó el “Acta de Paridad de la Salud Mental y Equidad de la Adicción”, con la cual se estableció un mínimo nacional de paridad, determinando que la salud física y la salud mental deben contar con condiciones similares de financiamiento y acceso a los tratamientos</w:t>
      </w:r>
      <w:r w:rsidR="005F6150">
        <w:rPr>
          <w:rFonts w:ascii="Times New Roman" w:hAnsi="Times New Roman"/>
          <w:sz w:val="24"/>
          <w:szCs w:val="24"/>
        </w:rPr>
        <w:t xml:space="preserve"> (</w:t>
      </w:r>
      <w:proofErr w:type="spellStart"/>
      <w:r w:rsidR="005F6150">
        <w:rPr>
          <w:rFonts w:ascii="Times New Roman" w:hAnsi="Times New Roman"/>
          <w:sz w:val="24"/>
          <w:szCs w:val="24"/>
        </w:rPr>
        <w:t>Fowler</w:t>
      </w:r>
      <w:proofErr w:type="spellEnd"/>
      <w:r w:rsidR="005F6150">
        <w:rPr>
          <w:rFonts w:ascii="Times New Roman" w:hAnsi="Times New Roman"/>
          <w:sz w:val="24"/>
          <w:szCs w:val="24"/>
        </w:rPr>
        <w:t xml:space="preserve"> &amp; </w:t>
      </w:r>
      <w:proofErr w:type="spellStart"/>
      <w:r w:rsidR="005F6150">
        <w:rPr>
          <w:rFonts w:ascii="Times New Roman" w:hAnsi="Times New Roman"/>
          <w:sz w:val="24"/>
          <w:szCs w:val="24"/>
        </w:rPr>
        <w:t>Saturday</w:t>
      </w:r>
      <w:proofErr w:type="spellEnd"/>
      <w:r w:rsidR="005F6150">
        <w:rPr>
          <w:rFonts w:ascii="Times New Roman" w:hAnsi="Times New Roman"/>
          <w:sz w:val="24"/>
          <w:szCs w:val="24"/>
        </w:rPr>
        <w:t>, 2009)</w:t>
      </w:r>
      <w:r>
        <w:rPr>
          <w:rFonts w:ascii="Times New Roman" w:hAnsi="Times New Roman"/>
          <w:sz w:val="24"/>
          <w:szCs w:val="24"/>
        </w:rPr>
        <w:t>. Esta ley federal se basó en el hecho de que para casi todos los trastornos mentales se han desarrollado métodos de diagnóstico fiables al igual que tratamientos y servicios seguros, eficaces y costo-efectivos</w:t>
      </w:r>
      <w:r w:rsidR="005F6150">
        <w:rPr>
          <w:rFonts w:ascii="Times New Roman" w:hAnsi="Times New Roman"/>
          <w:sz w:val="24"/>
          <w:szCs w:val="24"/>
        </w:rPr>
        <w:t xml:space="preserve"> (WHO, 2013; Frank, Goldman &amp; McGuire, 2001)</w:t>
      </w:r>
      <w:r>
        <w:rPr>
          <w:rFonts w:ascii="Times New Roman" w:hAnsi="Times New Roman"/>
          <w:sz w:val="24"/>
          <w:szCs w:val="24"/>
        </w:rPr>
        <w:t>. A su vez, los estados que previamente contaban con leyes de paridad disminuyeron considerablemente la carga financiera de las familias con hijos que presentan enfermedades mentales, contribuyendo, por ejemplo, a que los padres puedan mantener un mejor cuidado de sus hijos</w:t>
      </w:r>
      <w:r w:rsidR="005F6150">
        <w:rPr>
          <w:rFonts w:ascii="Times New Roman" w:hAnsi="Times New Roman"/>
          <w:sz w:val="24"/>
          <w:szCs w:val="24"/>
        </w:rPr>
        <w:t xml:space="preserve"> (</w:t>
      </w:r>
      <w:proofErr w:type="spellStart"/>
      <w:r w:rsidR="005F6150">
        <w:rPr>
          <w:rFonts w:ascii="Times New Roman" w:hAnsi="Times New Roman"/>
          <w:sz w:val="24"/>
          <w:szCs w:val="24"/>
        </w:rPr>
        <w:t>Demchak</w:t>
      </w:r>
      <w:proofErr w:type="spellEnd"/>
      <w:r w:rsidR="005F6150">
        <w:rPr>
          <w:rFonts w:ascii="Times New Roman" w:hAnsi="Times New Roman"/>
          <w:sz w:val="24"/>
          <w:szCs w:val="24"/>
        </w:rPr>
        <w:t>, 2007)</w:t>
      </w:r>
      <w:r>
        <w:rPr>
          <w:rFonts w:ascii="Times New Roman" w:hAnsi="Times New Roman"/>
          <w:sz w:val="24"/>
          <w:szCs w:val="24"/>
        </w:rPr>
        <w:t>.</w:t>
      </w:r>
    </w:p>
    <w:p w14:paraId="3C28D481" w14:textId="5E25BE9C" w:rsidR="00653E90" w:rsidRDefault="00653E90" w:rsidP="002B6696">
      <w:pPr>
        <w:spacing w:line="360" w:lineRule="auto"/>
        <w:ind w:firstLine="720"/>
        <w:jc w:val="both"/>
        <w:rPr>
          <w:rFonts w:ascii="Times New Roman" w:hAnsi="Times New Roman"/>
          <w:sz w:val="24"/>
          <w:szCs w:val="24"/>
        </w:rPr>
      </w:pPr>
      <w:r>
        <w:rPr>
          <w:rFonts w:ascii="Times New Roman" w:hAnsi="Times New Roman"/>
          <w:sz w:val="24"/>
          <w:szCs w:val="24"/>
        </w:rPr>
        <w:t>Con la aplicación en Estados Unidos del Acta de 2008 y el cambio en la comprensión de la salud mental, el gasto en salud mental disminuyó en relación al gasto total en salud</w:t>
      </w:r>
      <w:r w:rsidR="00B04F4A">
        <w:rPr>
          <w:rFonts w:ascii="Times New Roman" w:hAnsi="Times New Roman"/>
          <w:sz w:val="24"/>
          <w:szCs w:val="24"/>
        </w:rPr>
        <w:t xml:space="preserve"> (</w:t>
      </w:r>
      <w:proofErr w:type="spellStart"/>
      <w:r w:rsidR="00B04F4A">
        <w:rPr>
          <w:rFonts w:ascii="Times New Roman" w:hAnsi="Times New Roman"/>
          <w:sz w:val="24"/>
          <w:szCs w:val="24"/>
        </w:rPr>
        <w:t>Aggarwal</w:t>
      </w:r>
      <w:proofErr w:type="spellEnd"/>
      <w:r w:rsidR="00B04F4A">
        <w:rPr>
          <w:rFonts w:ascii="Times New Roman" w:hAnsi="Times New Roman"/>
          <w:sz w:val="24"/>
          <w:szCs w:val="24"/>
        </w:rPr>
        <w:t xml:space="preserve"> &amp; Rowe, 2013)</w:t>
      </w:r>
      <w:r>
        <w:rPr>
          <w:rFonts w:ascii="Times New Roman" w:hAnsi="Times New Roman"/>
          <w:sz w:val="24"/>
          <w:szCs w:val="24"/>
        </w:rPr>
        <w:t xml:space="preserve">. Aunque aún no hay evidencia que muestre una disminución en la incidencia de los trastornos mentales, se espera que el aumento de la cobertura y beneficios </w:t>
      </w:r>
      <w:r>
        <w:rPr>
          <w:rFonts w:ascii="Times New Roman" w:hAnsi="Times New Roman"/>
          <w:sz w:val="24"/>
          <w:szCs w:val="24"/>
        </w:rPr>
        <w:lastRenderedPageBreak/>
        <w:t>de atención de salud mental reduzca la ocurrencia de este tipo de trastornos, las tasas de suicidio, abuso de alcohol y delincuencia juvenil</w:t>
      </w:r>
      <w:r w:rsidR="00B04F4A">
        <w:rPr>
          <w:rFonts w:ascii="Times New Roman" w:hAnsi="Times New Roman"/>
          <w:sz w:val="24"/>
          <w:szCs w:val="24"/>
        </w:rPr>
        <w:t xml:space="preserve"> (García, 2010)</w:t>
      </w:r>
      <w:r>
        <w:rPr>
          <w:rFonts w:ascii="Times New Roman" w:hAnsi="Times New Roman"/>
          <w:sz w:val="24"/>
          <w:szCs w:val="24"/>
        </w:rPr>
        <w:t>.</w:t>
      </w:r>
    </w:p>
    <w:p w14:paraId="056D3AA6" w14:textId="77777777" w:rsidR="00653E90" w:rsidRDefault="00653E90" w:rsidP="002B6696">
      <w:pPr>
        <w:spacing w:line="360" w:lineRule="auto"/>
        <w:jc w:val="both"/>
        <w:rPr>
          <w:rFonts w:ascii="Times New Roman" w:hAnsi="Times New Roman"/>
          <w:b/>
          <w:sz w:val="24"/>
          <w:szCs w:val="24"/>
        </w:rPr>
      </w:pPr>
    </w:p>
    <w:p w14:paraId="4A6FA75B" w14:textId="77777777" w:rsidR="00653E90" w:rsidRDefault="00653E90" w:rsidP="002B6696">
      <w:pPr>
        <w:spacing w:line="360" w:lineRule="auto"/>
        <w:jc w:val="both"/>
        <w:rPr>
          <w:rFonts w:ascii="Times New Roman" w:hAnsi="Times New Roman"/>
          <w:b/>
          <w:sz w:val="24"/>
          <w:szCs w:val="24"/>
        </w:rPr>
      </w:pPr>
      <w:r>
        <w:rPr>
          <w:rFonts w:ascii="Times New Roman" w:hAnsi="Times New Roman"/>
          <w:b/>
          <w:sz w:val="24"/>
          <w:szCs w:val="24"/>
        </w:rPr>
        <w:t>Discusión</w:t>
      </w:r>
    </w:p>
    <w:p w14:paraId="3874189D" w14:textId="77777777" w:rsidR="00653E90" w:rsidRDefault="00653E90" w:rsidP="002B6696">
      <w:pPr>
        <w:spacing w:line="360" w:lineRule="auto"/>
        <w:jc w:val="both"/>
        <w:rPr>
          <w:rFonts w:ascii="Times New Roman" w:hAnsi="Times New Roman"/>
          <w:sz w:val="24"/>
          <w:szCs w:val="24"/>
        </w:rPr>
      </w:pPr>
      <w:r>
        <w:rPr>
          <w:rFonts w:ascii="Times New Roman" w:hAnsi="Times New Roman"/>
          <w:sz w:val="24"/>
          <w:szCs w:val="24"/>
        </w:rPr>
        <w:t>Las condiciones neuropsiquiátricas corresponden a casi un cuarto del total de años de vida saludables perdidos por vivir con discapacidad (AVISA) en Chile y diversas investigaciones han demostrado que el tratamiento mental puede ser costo-efectivo. Sin embargo, si se compara con países de ingresos similares, Chile presenta un importante déficit en el financiamiento de la salud mental. Los objetivos planteados durante la última década por el Gobierno de Chile no se han cumplido, lo cual es visible en materia de financiamiento y cobertura: el porcentaje actual del presupuesto público de salud destinado a salud mental es muy inferior al esperado para el año 2010, y la mitad de las patologías mentales presentadas como prioritarias en 2000 hoy no tienen un tratamiento asegurado a través del AUGE/GES.</w:t>
      </w:r>
    </w:p>
    <w:p w14:paraId="58E10E9C" w14:textId="77777777" w:rsidR="00653E90" w:rsidRDefault="00653E90" w:rsidP="002B6696">
      <w:pPr>
        <w:spacing w:line="360" w:lineRule="auto"/>
        <w:ind w:firstLine="720"/>
        <w:jc w:val="both"/>
        <w:rPr>
          <w:rFonts w:ascii="Times New Roman" w:hAnsi="Times New Roman"/>
          <w:sz w:val="24"/>
          <w:szCs w:val="24"/>
        </w:rPr>
      </w:pPr>
      <w:r>
        <w:rPr>
          <w:rFonts w:ascii="Times New Roman" w:hAnsi="Times New Roman"/>
          <w:sz w:val="24"/>
          <w:szCs w:val="24"/>
        </w:rPr>
        <w:t>Considerando que en la última Estrategia Nacional de Salud (2011-2020) se declara la intención de dar mayor prioridad a la salud mental, proponemos las siguientes medidas:</w:t>
      </w:r>
    </w:p>
    <w:p w14:paraId="4CFA4CC4" w14:textId="022320AB" w:rsidR="00653E90" w:rsidRDefault="00653E90" w:rsidP="002B6696">
      <w:pPr>
        <w:spacing w:line="360" w:lineRule="auto"/>
        <w:jc w:val="both"/>
        <w:rPr>
          <w:rFonts w:ascii="Times New Roman" w:hAnsi="Times New Roman"/>
          <w:sz w:val="24"/>
          <w:szCs w:val="24"/>
        </w:rPr>
      </w:pPr>
      <w:r>
        <w:rPr>
          <w:rFonts w:ascii="Times New Roman" w:hAnsi="Times New Roman"/>
          <w:sz w:val="24"/>
          <w:szCs w:val="24"/>
        </w:rPr>
        <w:t>1) Destinar un mayor porcentaje del presupuesto público de salud a salud mental, para alcanzar al menos el 5% que se había propuesto hace más de una década para el 2010 y que se acerca al 5,1% destinado por los países de altos ingresos</w:t>
      </w:r>
      <w:r w:rsidR="00B04F4A">
        <w:rPr>
          <w:rFonts w:ascii="Times New Roman" w:hAnsi="Times New Roman"/>
          <w:sz w:val="24"/>
          <w:szCs w:val="24"/>
        </w:rPr>
        <w:t xml:space="preserve"> (Universidad de Chile, 2014)</w:t>
      </w:r>
      <w:r>
        <w:rPr>
          <w:rFonts w:ascii="Times New Roman" w:hAnsi="Times New Roman"/>
          <w:sz w:val="24"/>
          <w:szCs w:val="24"/>
        </w:rPr>
        <w:t>. Al 2020 se podría plantear una meta de 10%, la cual sería más acorde al gasto económico que significan las enfermedades mentales para el país.</w:t>
      </w:r>
    </w:p>
    <w:p w14:paraId="395FC9BB" w14:textId="77777777" w:rsidR="00653E90" w:rsidRDefault="00653E90" w:rsidP="002B6696">
      <w:pPr>
        <w:spacing w:line="360" w:lineRule="auto"/>
        <w:jc w:val="both"/>
        <w:rPr>
          <w:rFonts w:ascii="Times New Roman" w:hAnsi="Times New Roman"/>
          <w:sz w:val="24"/>
          <w:szCs w:val="24"/>
        </w:rPr>
      </w:pPr>
      <w:r>
        <w:rPr>
          <w:rFonts w:ascii="Times New Roman" w:hAnsi="Times New Roman"/>
          <w:sz w:val="24"/>
          <w:szCs w:val="24"/>
        </w:rPr>
        <w:t>2) Destinar parte del presupuesto en salud mental a investigación para la generación de evidencia sobre el caso de Chile.</w:t>
      </w:r>
    </w:p>
    <w:p w14:paraId="2ACACC33" w14:textId="77777777" w:rsidR="00653E90" w:rsidRDefault="00653E90" w:rsidP="002B6696">
      <w:pPr>
        <w:spacing w:line="360" w:lineRule="auto"/>
        <w:jc w:val="both"/>
        <w:rPr>
          <w:rFonts w:ascii="Times New Roman" w:hAnsi="Times New Roman"/>
          <w:sz w:val="24"/>
          <w:szCs w:val="24"/>
        </w:rPr>
      </w:pPr>
      <w:r>
        <w:rPr>
          <w:rFonts w:ascii="Times New Roman" w:hAnsi="Times New Roman"/>
          <w:sz w:val="24"/>
          <w:szCs w:val="24"/>
        </w:rPr>
        <w:t xml:space="preserve">3) Priorizar las patologías mentales dentro de las nuevas enfermedades que serán incorporadas al plan AUGE/GES el año 2016. </w:t>
      </w:r>
    </w:p>
    <w:p w14:paraId="7CC16EFE" w14:textId="55AFE2BB" w:rsidR="00E56928" w:rsidRDefault="00653E90" w:rsidP="00D11BAC">
      <w:pPr>
        <w:spacing w:line="360" w:lineRule="auto"/>
        <w:jc w:val="both"/>
        <w:rPr>
          <w:rFonts w:ascii="Times New Roman" w:hAnsi="Times New Roman"/>
          <w:sz w:val="24"/>
          <w:szCs w:val="24"/>
        </w:rPr>
      </w:pPr>
      <w:r>
        <w:rPr>
          <w:rFonts w:ascii="Times New Roman" w:hAnsi="Times New Roman"/>
          <w:sz w:val="24"/>
          <w:szCs w:val="24"/>
        </w:rPr>
        <w:t xml:space="preserve">4) Promover una ley similar al Acta de Paridad de la Salud Mental y Equidad de la Adicción de Estados Unidos para disminuir la discriminación que sufren las personas con trastornos mentales en Chile. </w:t>
      </w:r>
      <w:r w:rsidR="00E56928">
        <w:rPr>
          <w:rFonts w:ascii="Times New Roman" w:hAnsi="Times New Roman"/>
          <w:sz w:val="24"/>
          <w:szCs w:val="24"/>
        </w:rPr>
        <w:br w:type="page"/>
      </w:r>
    </w:p>
    <w:p w14:paraId="60D3DE5F" w14:textId="77777777" w:rsidR="00A61758" w:rsidRDefault="00E56928" w:rsidP="00A61758">
      <w:pPr>
        <w:spacing w:line="360" w:lineRule="auto"/>
        <w:jc w:val="center"/>
        <w:rPr>
          <w:rFonts w:ascii="Times New Roman" w:hAnsi="Times New Roman"/>
          <w:b/>
          <w:sz w:val="24"/>
          <w:szCs w:val="24"/>
        </w:rPr>
      </w:pPr>
      <w:r>
        <w:rPr>
          <w:rFonts w:ascii="Times New Roman" w:hAnsi="Times New Roman"/>
          <w:b/>
          <w:sz w:val="24"/>
          <w:szCs w:val="24"/>
        </w:rPr>
        <w:lastRenderedPageBreak/>
        <w:t>Anexo Capítulo I</w:t>
      </w:r>
    </w:p>
    <w:p w14:paraId="23CC0CEC" w14:textId="0EB9403F" w:rsidR="00E56928" w:rsidRDefault="00E56928" w:rsidP="00A61758">
      <w:pPr>
        <w:spacing w:line="360" w:lineRule="auto"/>
        <w:jc w:val="center"/>
        <w:rPr>
          <w:rFonts w:ascii="Times New Roman" w:hAnsi="Times New Roman"/>
          <w:b/>
          <w:sz w:val="24"/>
          <w:szCs w:val="24"/>
        </w:rPr>
      </w:pPr>
      <w:r>
        <w:rPr>
          <w:rFonts w:ascii="Times New Roman" w:hAnsi="Times New Roman"/>
          <w:b/>
          <w:sz w:val="24"/>
          <w:szCs w:val="24"/>
        </w:rPr>
        <w:t>Salud Mental en Chile: Una Actualización</w:t>
      </w:r>
    </w:p>
    <w:p w14:paraId="73E26F73" w14:textId="77777777" w:rsidR="00A61758" w:rsidRDefault="00A61758" w:rsidP="00A61758">
      <w:pPr>
        <w:spacing w:line="360" w:lineRule="auto"/>
        <w:jc w:val="center"/>
        <w:rPr>
          <w:rFonts w:ascii="Times New Roman" w:hAnsi="Times New Roman"/>
          <w:b/>
          <w:sz w:val="24"/>
          <w:szCs w:val="24"/>
        </w:rPr>
      </w:pPr>
    </w:p>
    <w:p w14:paraId="66187CF1" w14:textId="369BC2DE" w:rsidR="00C76FA0" w:rsidRDefault="00C76FA0" w:rsidP="002B6696">
      <w:pPr>
        <w:spacing w:line="360" w:lineRule="auto"/>
        <w:jc w:val="both"/>
        <w:rPr>
          <w:rFonts w:ascii="Times New Roman" w:hAnsi="Times New Roman"/>
          <w:sz w:val="24"/>
          <w:szCs w:val="24"/>
        </w:rPr>
      </w:pPr>
      <w:r>
        <w:rPr>
          <w:rFonts w:ascii="Times New Roman" w:hAnsi="Times New Roman"/>
          <w:sz w:val="24"/>
          <w:szCs w:val="24"/>
        </w:rPr>
        <w:tab/>
        <w:t xml:space="preserve">La publicación “Financiamiento de la salud mental en Chile: una deuda pendiente” es el resultado de una revisión del estado de las políticas públicas en salud mental. Dicho artículo fue enviado a publicación el año 2013 y aceptado para publicación el año 2015. Más de dos años han pasado desde ese momento, por lo que parece ser pertinente, para efectos de esta tesis de doctorado, actualizar al lector en estos aspectos. </w:t>
      </w:r>
    </w:p>
    <w:p w14:paraId="02DA7FC6" w14:textId="26C7ADC7" w:rsidR="00BC4ACE" w:rsidRDefault="008070A9" w:rsidP="57FB4585">
      <w:pPr>
        <w:spacing w:line="360" w:lineRule="auto"/>
        <w:jc w:val="both"/>
        <w:rPr>
          <w:rFonts w:ascii="Times New Roman" w:hAnsi="Times New Roman"/>
          <w:sz w:val="24"/>
          <w:szCs w:val="24"/>
        </w:rPr>
      </w:pPr>
      <w:r>
        <w:rPr>
          <w:rFonts w:ascii="Times New Roman" w:hAnsi="Times New Roman"/>
          <w:b/>
          <w:sz w:val="24"/>
          <w:szCs w:val="24"/>
        </w:rPr>
        <w:tab/>
      </w:r>
      <w:r w:rsidR="00855761">
        <w:rPr>
          <w:rFonts w:ascii="Times New Roman" w:hAnsi="Times New Roman"/>
          <w:sz w:val="24"/>
          <w:szCs w:val="24"/>
        </w:rPr>
        <w:t>Tras el</w:t>
      </w:r>
      <w:r>
        <w:rPr>
          <w:rFonts w:ascii="Times New Roman" w:hAnsi="Times New Roman"/>
          <w:sz w:val="24"/>
          <w:szCs w:val="24"/>
        </w:rPr>
        <w:t xml:space="preserve"> Plan Nacional de Salud </w:t>
      </w:r>
      <w:r w:rsidR="00855761">
        <w:rPr>
          <w:rFonts w:ascii="Times New Roman" w:hAnsi="Times New Roman"/>
          <w:sz w:val="24"/>
          <w:szCs w:val="24"/>
        </w:rPr>
        <w:t xml:space="preserve">y Psiquiatría del año 2000, cuyos objetivos se fijaban hasta el año 2010, ningún nuevo plan </w:t>
      </w:r>
      <w:r w:rsidR="0095126F">
        <w:rPr>
          <w:rFonts w:ascii="Times New Roman" w:hAnsi="Times New Roman"/>
          <w:sz w:val="24"/>
          <w:szCs w:val="24"/>
        </w:rPr>
        <w:t xml:space="preserve">específico </w:t>
      </w:r>
      <w:r w:rsidR="00855761">
        <w:rPr>
          <w:rFonts w:ascii="Times New Roman" w:hAnsi="Times New Roman"/>
          <w:sz w:val="24"/>
          <w:szCs w:val="24"/>
        </w:rPr>
        <w:t>fue presentado hasta la publicación del artículo anterior.</w:t>
      </w:r>
      <w:r w:rsidR="0095126F">
        <w:rPr>
          <w:rFonts w:ascii="Times New Roman" w:hAnsi="Times New Roman"/>
          <w:sz w:val="24"/>
          <w:szCs w:val="24"/>
        </w:rPr>
        <w:t xml:space="preserve"> Hasta el año pasado en que </w:t>
      </w:r>
      <w:r w:rsidR="00322B33">
        <w:rPr>
          <w:rFonts w:ascii="Times New Roman" w:hAnsi="Times New Roman"/>
          <w:sz w:val="24"/>
          <w:szCs w:val="24"/>
        </w:rPr>
        <w:t>el Ministerio de Salud de Chile (MINSAL) publica el nuevo Plan Nacional de Salud Mental 2017 (</w:t>
      </w:r>
      <w:r w:rsidR="00322B33" w:rsidRPr="00AC562E">
        <w:rPr>
          <w:rFonts w:ascii="Times New Roman" w:hAnsi="Times New Roman"/>
          <w:sz w:val="24"/>
          <w:szCs w:val="24"/>
        </w:rPr>
        <w:t>MINSAL, 2017</w:t>
      </w:r>
      <w:r w:rsidR="005F1062" w:rsidRPr="00AC562E">
        <w:rPr>
          <w:rFonts w:ascii="Times New Roman" w:hAnsi="Times New Roman"/>
          <w:sz w:val="24"/>
          <w:szCs w:val="24"/>
        </w:rPr>
        <w:t>a</w:t>
      </w:r>
      <w:r w:rsidR="00322B33">
        <w:rPr>
          <w:rFonts w:ascii="Times New Roman" w:hAnsi="Times New Roman"/>
          <w:sz w:val="24"/>
          <w:szCs w:val="24"/>
        </w:rPr>
        <w:t xml:space="preserve">), en el cual participaron en su elaboración </w:t>
      </w:r>
      <w:r w:rsidR="00BC4ACE">
        <w:rPr>
          <w:rFonts w:ascii="Times New Roman" w:hAnsi="Times New Roman"/>
          <w:sz w:val="24"/>
          <w:szCs w:val="24"/>
        </w:rPr>
        <w:t>personas de diversos sectores del Gobierno</w:t>
      </w:r>
      <w:r w:rsidR="0095126F">
        <w:rPr>
          <w:rFonts w:ascii="Times New Roman" w:hAnsi="Times New Roman"/>
          <w:sz w:val="24"/>
          <w:szCs w:val="24"/>
        </w:rPr>
        <w:t xml:space="preserve"> de Chile</w:t>
      </w:r>
      <w:r w:rsidR="00BC4ACE">
        <w:rPr>
          <w:rFonts w:ascii="Times New Roman" w:hAnsi="Times New Roman"/>
          <w:sz w:val="24"/>
          <w:szCs w:val="24"/>
        </w:rPr>
        <w:t>, al igual que académicos dedicados a temas de salud pública y salud mental. Dicho plan incorpora 7 líneas de acción en temas de salud mental: regulación</w:t>
      </w:r>
      <w:r w:rsidR="00F90A6E">
        <w:rPr>
          <w:rFonts w:ascii="Times New Roman" w:hAnsi="Times New Roman"/>
          <w:sz w:val="24"/>
          <w:szCs w:val="24"/>
        </w:rPr>
        <w:t xml:space="preserve"> y Derechos Humanos</w:t>
      </w:r>
      <w:r w:rsidR="00BC4ACE">
        <w:rPr>
          <w:rFonts w:ascii="Times New Roman" w:hAnsi="Times New Roman"/>
          <w:sz w:val="24"/>
          <w:szCs w:val="24"/>
        </w:rPr>
        <w:t>, provisión de servicios, financiamiento, gestión</w:t>
      </w:r>
      <w:r w:rsidR="00F90A6E">
        <w:rPr>
          <w:rFonts w:ascii="Times New Roman" w:hAnsi="Times New Roman"/>
          <w:sz w:val="24"/>
          <w:szCs w:val="24"/>
        </w:rPr>
        <w:t xml:space="preserve"> de la calidad</w:t>
      </w:r>
      <w:r w:rsidR="00BC4ACE">
        <w:rPr>
          <w:rFonts w:ascii="Times New Roman" w:hAnsi="Times New Roman"/>
          <w:sz w:val="24"/>
          <w:szCs w:val="24"/>
        </w:rPr>
        <w:t xml:space="preserve">, recursos humanos, participación ciudadana e intersectorialidad. </w:t>
      </w:r>
    </w:p>
    <w:p w14:paraId="7B82B75B" w14:textId="23BDE311" w:rsidR="00BC4ACE" w:rsidRDefault="00BC4ACE" w:rsidP="002B6696">
      <w:pPr>
        <w:spacing w:line="360" w:lineRule="auto"/>
        <w:jc w:val="both"/>
        <w:rPr>
          <w:rFonts w:ascii="Times New Roman" w:hAnsi="Times New Roman"/>
          <w:sz w:val="24"/>
          <w:szCs w:val="24"/>
        </w:rPr>
      </w:pPr>
      <w:r>
        <w:rPr>
          <w:rFonts w:ascii="Times New Roman" w:hAnsi="Times New Roman"/>
          <w:sz w:val="24"/>
          <w:szCs w:val="24"/>
        </w:rPr>
        <w:tab/>
      </w:r>
      <w:r w:rsidR="004C5CC8">
        <w:rPr>
          <w:rFonts w:ascii="Times New Roman" w:hAnsi="Times New Roman"/>
          <w:sz w:val="24"/>
          <w:szCs w:val="24"/>
        </w:rPr>
        <w:t xml:space="preserve">Sobre la regulación y legislación intentando asegurar los derechos humanos de los pacientes, en Chile queda mucho trabajo por hacer. Así lo planteó el año 2012 el segundo informe WHO-AIMS sobre el Sistema de Salud Mental de </w:t>
      </w:r>
      <w:r w:rsidR="004C5CC8" w:rsidRPr="00AC562E">
        <w:rPr>
          <w:rFonts w:ascii="Times New Roman" w:hAnsi="Times New Roman"/>
          <w:sz w:val="24"/>
          <w:szCs w:val="24"/>
        </w:rPr>
        <w:t>Chile (</w:t>
      </w:r>
      <w:r w:rsidR="00AC562E" w:rsidRPr="00AC562E">
        <w:rPr>
          <w:rFonts w:ascii="Times New Roman" w:hAnsi="Times New Roman"/>
          <w:sz w:val="24"/>
          <w:szCs w:val="24"/>
        </w:rPr>
        <w:t>OMS y MINSAL</w:t>
      </w:r>
      <w:r w:rsidR="004C5CC8" w:rsidRPr="00AC562E">
        <w:rPr>
          <w:rFonts w:ascii="Times New Roman" w:hAnsi="Times New Roman"/>
          <w:sz w:val="24"/>
          <w:szCs w:val="24"/>
        </w:rPr>
        <w:t xml:space="preserve">, 2012), </w:t>
      </w:r>
      <w:r w:rsidR="004C5CC8">
        <w:rPr>
          <w:rFonts w:ascii="Times New Roman" w:hAnsi="Times New Roman"/>
          <w:sz w:val="24"/>
          <w:szCs w:val="24"/>
        </w:rPr>
        <w:t xml:space="preserve">donde se expuso que la normativa chilena no cumple con los estándares internacionales en materia de Derechos Humanos. </w:t>
      </w:r>
      <w:r w:rsidR="00827B0C">
        <w:rPr>
          <w:rFonts w:ascii="Times New Roman" w:hAnsi="Times New Roman"/>
          <w:sz w:val="24"/>
          <w:szCs w:val="24"/>
        </w:rPr>
        <w:t xml:space="preserve">Por ejemplo, </w:t>
      </w:r>
      <w:r w:rsidR="007F4F09">
        <w:rPr>
          <w:rFonts w:ascii="Times New Roman" w:hAnsi="Times New Roman"/>
          <w:sz w:val="24"/>
          <w:szCs w:val="24"/>
        </w:rPr>
        <w:t>se destaca que la legislación del momento no reconoce el derecho a la capacidad jurídica de las personas con discapacidad mental, se establece que el derecho de las personas con discapacidad mental para conocer información de su ficha clínica puede ser negado por su médico tratante</w:t>
      </w:r>
      <w:r w:rsidR="004E11BC">
        <w:rPr>
          <w:rFonts w:ascii="Times New Roman" w:hAnsi="Times New Roman"/>
          <w:sz w:val="24"/>
          <w:szCs w:val="24"/>
        </w:rPr>
        <w:t xml:space="preserve">, entre otras deficiencias. </w:t>
      </w:r>
    </w:p>
    <w:p w14:paraId="4C93F3FA" w14:textId="1C7C18F5" w:rsidR="00FA327F" w:rsidRDefault="004E11BC" w:rsidP="002B6696">
      <w:pPr>
        <w:spacing w:line="360" w:lineRule="auto"/>
        <w:jc w:val="both"/>
        <w:rPr>
          <w:rFonts w:ascii="Times New Roman" w:hAnsi="Times New Roman"/>
          <w:sz w:val="24"/>
          <w:szCs w:val="24"/>
        </w:rPr>
      </w:pPr>
      <w:r>
        <w:rPr>
          <w:rFonts w:ascii="Times New Roman" w:hAnsi="Times New Roman"/>
          <w:sz w:val="24"/>
          <w:szCs w:val="24"/>
        </w:rPr>
        <w:tab/>
        <w:t>El Plan Nacional de Salud Mental contempla el impulsar la Ley de Salud Me</w:t>
      </w:r>
      <w:r w:rsidR="00FA327F">
        <w:rPr>
          <w:rFonts w:ascii="Times New Roman" w:hAnsi="Times New Roman"/>
          <w:sz w:val="24"/>
          <w:szCs w:val="24"/>
        </w:rPr>
        <w:t>n</w:t>
      </w:r>
      <w:r>
        <w:rPr>
          <w:rFonts w:ascii="Times New Roman" w:hAnsi="Times New Roman"/>
          <w:sz w:val="24"/>
          <w:szCs w:val="24"/>
        </w:rPr>
        <w:t xml:space="preserve">tal que armonice el conjunto de la normativa nacional en materia de discapacidad mental y que la alinee con los estándares de derechos humanos vigentes. Una versión de esta ley fue </w:t>
      </w:r>
      <w:r>
        <w:rPr>
          <w:rFonts w:ascii="Times New Roman" w:hAnsi="Times New Roman"/>
          <w:sz w:val="24"/>
          <w:szCs w:val="24"/>
        </w:rPr>
        <w:lastRenderedPageBreak/>
        <w:t xml:space="preserve">ingresada al congreso en marzo del 2016. Dicha ley se encuentra en segundo trámite constitucional y se le asignó urgencia de discusión inmediata el día 7 de marzo del 2018, a cuatro días del cambio mando. Sin embargo, </w:t>
      </w:r>
      <w:r w:rsidR="00766415">
        <w:rPr>
          <w:rFonts w:ascii="Times New Roman" w:hAnsi="Times New Roman"/>
          <w:sz w:val="24"/>
          <w:szCs w:val="24"/>
        </w:rPr>
        <w:t>dicha urgencia caducó el 7 de abril, sin un avance en su tramitación</w:t>
      </w:r>
      <w:r w:rsidR="00FA327F">
        <w:rPr>
          <w:rFonts w:ascii="Times New Roman" w:hAnsi="Times New Roman"/>
          <w:sz w:val="24"/>
          <w:szCs w:val="24"/>
        </w:rPr>
        <w:t xml:space="preserve"> </w:t>
      </w:r>
      <w:r w:rsidR="00FA327F" w:rsidRPr="00AC562E">
        <w:rPr>
          <w:rFonts w:ascii="Times New Roman" w:hAnsi="Times New Roman"/>
          <w:sz w:val="24"/>
          <w:szCs w:val="24"/>
        </w:rPr>
        <w:t xml:space="preserve">(Cámara de Diputados, 2018). </w:t>
      </w:r>
    </w:p>
    <w:p w14:paraId="5FD6258D" w14:textId="7BD2DA28" w:rsidR="00FA327F" w:rsidRDefault="00FA327F" w:rsidP="002B6696">
      <w:pPr>
        <w:spacing w:line="360" w:lineRule="auto"/>
        <w:jc w:val="both"/>
        <w:rPr>
          <w:rFonts w:ascii="Times New Roman" w:hAnsi="Times New Roman"/>
          <w:sz w:val="24"/>
          <w:szCs w:val="24"/>
        </w:rPr>
      </w:pPr>
      <w:r>
        <w:rPr>
          <w:rFonts w:ascii="Times New Roman" w:hAnsi="Times New Roman"/>
          <w:sz w:val="24"/>
          <w:szCs w:val="24"/>
        </w:rPr>
        <w:tab/>
      </w:r>
      <w:r w:rsidR="008D1355">
        <w:rPr>
          <w:rFonts w:ascii="Times New Roman" w:hAnsi="Times New Roman"/>
          <w:sz w:val="24"/>
          <w:szCs w:val="24"/>
        </w:rPr>
        <w:t xml:space="preserve">Un punto en el que se ha avanzado es en la provisión de servicios de salud mental. El Plan de Salud Mental y Psiquiatría del año 2000 establece una organización de la red de atención basado en el Modelo Comunitario de Atención en Salud Mental y, con ello, las bases de diversos avances. Entre ellos, </w:t>
      </w:r>
      <w:r w:rsidR="00EA2750">
        <w:rPr>
          <w:rFonts w:ascii="Times New Roman" w:hAnsi="Times New Roman"/>
          <w:sz w:val="24"/>
          <w:szCs w:val="24"/>
        </w:rPr>
        <w:t xml:space="preserve">el Informe WHO-AIMS destaca la ampliación del número total de dispositivos de salud mental existentes en el sector </w:t>
      </w:r>
      <w:r w:rsidR="00EA2750" w:rsidRPr="00AC562E">
        <w:rPr>
          <w:rFonts w:ascii="Times New Roman" w:hAnsi="Times New Roman"/>
          <w:sz w:val="24"/>
          <w:szCs w:val="24"/>
        </w:rPr>
        <w:t>público (</w:t>
      </w:r>
      <w:r w:rsidR="00AC562E" w:rsidRPr="00AC562E">
        <w:rPr>
          <w:rFonts w:ascii="Times New Roman" w:hAnsi="Times New Roman"/>
          <w:sz w:val="24"/>
          <w:szCs w:val="24"/>
        </w:rPr>
        <w:t>OMS y MINSAL, 2012</w:t>
      </w:r>
      <w:r w:rsidR="00EA2750" w:rsidRPr="00AC562E">
        <w:rPr>
          <w:rFonts w:ascii="Times New Roman" w:hAnsi="Times New Roman"/>
          <w:sz w:val="24"/>
          <w:szCs w:val="24"/>
        </w:rPr>
        <w:t xml:space="preserve">). </w:t>
      </w:r>
      <w:r w:rsidR="0095126F">
        <w:rPr>
          <w:rFonts w:ascii="Times New Roman" w:hAnsi="Times New Roman"/>
          <w:sz w:val="24"/>
          <w:szCs w:val="24"/>
        </w:rPr>
        <w:t>Entre ellos, resalta</w:t>
      </w:r>
      <w:r w:rsidR="00EA2750">
        <w:rPr>
          <w:rFonts w:ascii="Times New Roman" w:hAnsi="Times New Roman"/>
          <w:sz w:val="24"/>
          <w:szCs w:val="24"/>
        </w:rPr>
        <w:t xml:space="preserve"> la ampliación de la atención en centros de Atención Prim</w:t>
      </w:r>
      <w:r w:rsidR="0095126F">
        <w:rPr>
          <w:rFonts w:ascii="Times New Roman" w:hAnsi="Times New Roman"/>
          <w:sz w:val="24"/>
          <w:szCs w:val="24"/>
        </w:rPr>
        <w:t>a</w:t>
      </w:r>
      <w:r w:rsidR="00EA2750">
        <w:rPr>
          <w:rFonts w:ascii="Times New Roman" w:hAnsi="Times New Roman"/>
          <w:sz w:val="24"/>
          <w:szCs w:val="24"/>
        </w:rPr>
        <w:t xml:space="preserve">ria de Salud (APS), donde para el año 2015 todos los establecimientos contaban con un Programa de Salud Mental (MINSAL, 2017). </w:t>
      </w:r>
    </w:p>
    <w:p w14:paraId="20450F9E" w14:textId="275A39A7" w:rsidR="001C65E1" w:rsidRDefault="001C65E1" w:rsidP="002B6696">
      <w:pPr>
        <w:spacing w:line="360" w:lineRule="auto"/>
        <w:jc w:val="both"/>
        <w:rPr>
          <w:rFonts w:ascii="Times New Roman" w:hAnsi="Times New Roman"/>
          <w:sz w:val="24"/>
          <w:szCs w:val="24"/>
        </w:rPr>
      </w:pPr>
      <w:r>
        <w:rPr>
          <w:rFonts w:ascii="Times New Roman" w:hAnsi="Times New Roman"/>
          <w:sz w:val="24"/>
          <w:szCs w:val="24"/>
        </w:rPr>
        <w:tab/>
        <w:t xml:space="preserve">Otro punto en el que ha habido avances, es en recursos humanos. Según el Informe WHO-AIMS, la tasa de profesionales y técnicos por cada 100.000 beneficiarios FONASA aumentó en más del 50%, subiendo de 26,4 el año 2004 a </w:t>
      </w:r>
      <w:r w:rsidR="00D65630">
        <w:rPr>
          <w:rFonts w:ascii="Times New Roman" w:hAnsi="Times New Roman"/>
          <w:sz w:val="24"/>
          <w:szCs w:val="24"/>
        </w:rPr>
        <w:t xml:space="preserve">41,5 en el año 2012. Sin embargo, un estudio realizado el 2015 estableció que existe una brecha de 10.202 cargos entre profesionales médicos, no médicos, técnicos y administrativos entre los actualmente existentes y los necesarios para tener la dotación necesaria para otorgar a los usuarios una atención de calidad, en el marco del modelo integral de salud familiar y comunitaria que se ha propuesto. </w:t>
      </w:r>
    </w:p>
    <w:p w14:paraId="17BD10B9" w14:textId="2B2BEC01" w:rsidR="00EA2750" w:rsidRPr="00F75A4B" w:rsidRDefault="00EA2750" w:rsidP="00904483">
      <w:pPr>
        <w:spacing w:line="360" w:lineRule="auto"/>
        <w:ind w:firstLine="708"/>
        <w:jc w:val="both"/>
        <w:rPr>
          <w:rFonts w:ascii="Times New Roman" w:hAnsi="Times New Roman"/>
          <w:sz w:val="24"/>
          <w:szCs w:val="24"/>
        </w:rPr>
      </w:pPr>
      <w:r>
        <w:rPr>
          <w:rFonts w:ascii="Times New Roman" w:hAnsi="Times New Roman"/>
          <w:sz w:val="24"/>
          <w:szCs w:val="24"/>
        </w:rPr>
        <w:t xml:space="preserve">Estos avances, sin embargo, no necesariamente </w:t>
      </w:r>
      <w:r w:rsidR="004E65D4">
        <w:rPr>
          <w:rFonts w:ascii="Times New Roman" w:hAnsi="Times New Roman"/>
          <w:sz w:val="24"/>
          <w:szCs w:val="24"/>
        </w:rPr>
        <w:t>han ido</w:t>
      </w:r>
      <w:r>
        <w:rPr>
          <w:rFonts w:ascii="Times New Roman" w:hAnsi="Times New Roman"/>
          <w:sz w:val="24"/>
          <w:szCs w:val="24"/>
        </w:rPr>
        <w:t xml:space="preserve"> de la mano de una mejora en la atención de los pacientes. Entre los años 2004 y 2012, el tiempo promedio para la primera consulta psiquiátrica aumentó de 29 a 48.3 días, a pesar del importante aumento en </w:t>
      </w:r>
      <w:r w:rsidR="00AB533F">
        <w:rPr>
          <w:rFonts w:ascii="Times New Roman" w:hAnsi="Times New Roman"/>
          <w:sz w:val="24"/>
          <w:szCs w:val="24"/>
        </w:rPr>
        <w:t xml:space="preserve">dispositivos disponibles (Minoletti et al., 2012). Por otro lado, la mayoría de estos avances se deben a un aumento en los establecimientos y prestaciones disponibles para la Región Metropolitana, existiendo una brecha importante con regiones (MINSAL, 2017). </w:t>
      </w:r>
      <w:r w:rsidR="009868C9">
        <w:rPr>
          <w:rFonts w:ascii="Times New Roman" w:hAnsi="Times New Roman"/>
          <w:sz w:val="24"/>
          <w:szCs w:val="24"/>
        </w:rPr>
        <w:t xml:space="preserve">Por otro lado, la Encuesta Nacional de Salud no evidencia una disminución estadísticamente significativa en la presencia de sintomatología depresiva en la población, entre sus diferentes </w:t>
      </w:r>
      <w:r w:rsidR="009868C9" w:rsidRPr="00F75A4B">
        <w:rPr>
          <w:rFonts w:ascii="Times New Roman" w:hAnsi="Times New Roman"/>
          <w:sz w:val="24"/>
          <w:szCs w:val="24"/>
        </w:rPr>
        <w:t xml:space="preserve">mediciones (Ver Gráfico </w:t>
      </w:r>
      <w:r w:rsidR="00186993" w:rsidRPr="00F75A4B">
        <w:rPr>
          <w:rFonts w:ascii="Times New Roman" w:hAnsi="Times New Roman"/>
          <w:sz w:val="24"/>
          <w:szCs w:val="24"/>
        </w:rPr>
        <w:t>A</w:t>
      </w:r>
      <w:r w:rsidR="009868C9" w:rsidRPr="00F75A4B">
        <w:rPr>
          <w:rFonts w:ascii="Times New Roman" w:hAnsi="Times New Roman"/>
          <w:sz w:val="24"/>
          <w:szCs w:val="24"/>
        </w:rPr>
        <w:t>1</w:t>
      </w:r>
      <w:r w:rsidR="00186993" w:rsidRPr="00F75A4B">
        <w:rPr>
          <w:rFonts w:ascii="Times New Roman" w:hAnsi="Times New Roman"/>
          <w:sz w:val="24"/>
          <w:szCs w:val="24"/>
        </w:rPr>
        <w:t>.1</w:t>
      </w:r>
      <w:r w:rsidR="009868C9" w:rsidRPr="00F75A4B">
        <w:rPr>
          <w:rFonts w:ascii="Times New Roman" w:hAnsi="Times New Roman"/>
          <w:sz w:val="24"/>
          <w:szCs w:val="24"/>
        </w:rPr>
        <w:t xml:space="preserve">). Tampoco </w:t>
      </w:r>
      <w:r w:rsidR="009868C9">
        <w:rPr>
          <w:rFonts w:ascii="Times New Roman" w:hAnsi="Times New Roman"/>
          <w:sz w:val="24"/>
          <w:szCs w:val="24"/>
        </w:rPr>
        <w:t xml:space="preserve">se han visto cambios en las defunciones por lesiones </w:t>
      </w:r>
      <w:proofErr w:type="spellStart"/>
      <w:r w:rsidR="009868C9">
        <w:rPr>
          <w:rFonts w:ascii="Times New Roman" w:hAnsi="Times New Roman"/>
          <w:sz w:val="24"/>
          <w:szCs w:val="24"/>
        </w:rPr>
        <w:t>autoinflingidas</w:t>
      </w:r>
      <w:proofErr w:type="spellEnd"/>
      <w:r w:rsidR="009868C9">
        <w:rPr>
          <w:rFonts w:ascii="Times New Roman" w:hAnsi="Times New Roman"/>
          <w:sz w:val="24"/>
          <w:szCs w:val="24"/>
        </w:rPr>
        <w:t xml:space="preserve">, declaradas por el DEIS </w:t>
      </w:r>
      <w:r w:rsidR="009868C9" w:rsidRPr="00F75A4B">
        <w:rPr>
          <w:rFonts w:ascii="Times New Roman" w:hAnsi="Times New Roman"/>
          <w:sz w:val="24"/>
          <w:szCs w:val="24"/>
        </w:rPr>
        <w:t xml:space="preserve">(DEIS, 2018) entre el 2005 </w:t>
      </w:r>
      <w:r w:rsidR="009868C9">
        <w:rPr>
          <w:rFonts w:ascii="Times New Roman" w:hAnsi="Times New Roman"/>
          <w:sz w:val="24"/>
          <w:szCs w:val="24"/>
        </w:rPr>
        <w:t>y el 201</w:t>
      </w:r>
      <w:r w:rsidR="009868C9" w:rsidRPr="00AC562E">
        <w:rPr>
          <w:rFonts w:ascii="Times New Roman" w:hAnsi="Times New Roman"/>
          <w:sz w:val="24"/>
          <w:szCs w:val="24"/>
        </w:rPr>
        <w:t xml:space="preserve">5 (Ver </w:t>
      </w:r>
      <w:r w:rsidR="009868C9" w:rsidRPr="00AC562E">
        <w:rPr>
          <w:rFonts w:ascii="Times New Roman" w:hAnsi="Times New Roman"/>
          <w:sz w:val="24"/>
          <w:szCs w:val="24"/>
        </w:rPr>
        <w:lastRenderedPageBreak/>
        <w:t xml:space="preserve">Gráfico </w:t>
      </w:r>
      <w:r w:rsidR="00186993" w:rsidRPr="00AC562E">
        <w:rPr>
          <w:rFonts w:ascii="Times New Roman" w:hAnsi="Times New Roman"/>
          <w:sz w:val="24"/>
          <w:szCs w:val="24"/>
        </w:rPr>
        <w:t>A1.2</w:t>
      </w:r>
      <w:r w:rsidR="009868C9" w:rsidRPr="00AC562E">
        <w:rPr>
          <w:rFonts w:ascii="Times New Roman" w:hAnsi="Times New Roman"/>
          <w:sz w:val="24"/>
          <w:szCs w:val="24"/>
        </w:rPr>
        <w:t xml:space="preserve">), a </w:t>
      </w:r>
      <w:r w:rsidR="009868C9">
        <w:rPr>
          <w:rFonts w:ascii="Times New Roman" w:hAnsi="Times New Roman"/>
          <w:sz w:val="24"/>
          <w:szCs w:val="24"/>
        </w:rPr>
        <w:t xml:space="preserve">pesar de haberse comenzado a implementar el Plan Nacional de Prevención del Suicidio el año </w:t>
      </w:r>
      <w:r w:rsidR="009868C9" w:rsidRPr="00F75A4B">
        <w:rPr>
          <w:rFonts w:ascii="Times New Roman" w:hAnsi="Times New Roman"/>
          <w:sz w:val="24"/>
          <w:szCs w:val="24"/>
        </w:rPr>
        <w:t>2013 (MINSAL, 2013).</w:t>
      </w:r>
    </w:p>
    <w:p w14:paraId="4A29F7D0" w14:textId="77777777" w:rsidR="000748F8" w:rsidRDefault="000748F8" w:rsidP="002B6696">
      <w:pPr>
        <w:spacing w:line="360" w:lineRule="auto"/>
        <w:jc w:val="both"/>
        <w:rPr>
          <w:rFonts w:ascii="Times New Roman" w:hAnsi="Times New Roman"/>
          <w:sz w:val="24"/>
          <w:szCs w:val="24"/>
        </w:rPr>
      </w:pPr>
    </w:p>
    <w:p w14:paraId="53AC92DF" w14:textId="11CAC2BE" w:rsidR="00024B76" w:rsidRDefault="000748F8" w:rsidP="002B6696">
      <w:pPr>
        <w:spacing w:line="360" w:lineRule="auto"/>
        <w:jc w:val="both"/>
        <w:rPr>
          <w:rFonts w:ascii="Times New Roman" w:hAnsi="Times New Roman"/>
          <w:sz w:val="24"/>
          <w:szCs w:val="24"/>
        </w:rPr>
      </w:pPr>
      <w:r>
        <w:rPr>
          <w:rFonts w:ascii="Times New Roman" w:hAnsi="Times New Roman"/>
          <w:sz w:val="24"/>
          <w:szCs w:val="24"/>
        </w:rPr>
        <w:t xml:space="preserve">                 </w:t>
      </w:r>
      <w:r w:rsidR="00F41064">
        <w:rPr>
          <w:noProof/>
        </w:rPr>
        <w:drawing>
          <wp:inline distT="0" distB="0" distL="0" distR="0" wp14:anchorId="7E59BD8E" wp14:editId="50D4C8C4">
            <wp:extent cx="4572000" cy="2743200"/>
            <wp:effectExtent l="0" t="0" r="0" b="0"/>
            <wp:docPr id="4" name="Gráfico 4">
              <a:extLst xmlns:a="http://schemas.openxmlformats.org/drawingml/2006/main">
                <a:ext uri="{FF2B5EF4-FFF2-40B4-BE49-F238E27FC236}">
                  <a16:creationId xmlns:a16="http://schemas.microsoft.com/office/drawing/2014/main" id="{AFD0558F-C9CD-407B-97C4-6AF6BD136D3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72557157" w14:textId="06B7F51E" w:rsidR="00F41064" w:rsidRDefault="00F41064" w:rsidP="000748F8">
      <w:pPr>
        <w:spacing w:line="240" w:lineRule="auto"/>
        <w:jc w:val="both"/>
        <w:rPr>
          <w:rFonts w:ascii="Times New Roman" w:hAnsi="Times New Roman"/>
          <w:sz w:val="20"/>
          <w:szCs w:val="20"/>
        </w:rPr>
      </w:pPr>
      <w:r w:rsidRPr="000748F8">
        <w:rPr>
          <w:rFonts w:ascii="Times New Roman" w:hAnsi="Times New Roman"/>
          <w:b/>
          <w:sz w:val="20"/>
          <w:szCs w:val="20"/>
        </w:rPr>
        <w:t>Gráfico A1.2</w:t>
      </w:r>
      <w:r w:rsidR="000748F8" w:rsidRPr="000748F8">
        <w:rPr>
          <w:rFonts w:ascii="Times New Roman" w:hAnsi="Times New Roman"/>
          <w:b/>
          <w:sz w:val="20"/>
          <w:szCs w:val="20"/>
        </w:rPr>
        <w:t xml:space="preserve">. </w:t>
      </w:r>
      <w:r w:rsidR="000748F8" w:rsidRPr="000748F8">
        <w:rPr>
          <w:rFonts w:ascii="Times New Roman" w:hAnsi="Times New Roman"/>
          <w:sz w:val="20"/>
          <w:szCs w:val="20"/>
        </w:rPr>
        <w:t xml:space="preserve">Número de defunciones por lesiones </w:t>
      </w:r>
      <w:proofErr w:type="spellStart"/>
      <w:r w:rsidR="000748F8" w:rsidRPr="000748F8">
        <w:rPr>
          <w:rFonts w:ascii="Times New Roman" w:hAnsi="Times New Roman"/>
          <w:sz w:val="20"/>
          <w:szCs w:val="20"/>
        </w:rPr>
        <w:t>autoinflingidas</w:t>
      </w:r>
      <w:proofErr w:type="spellEnd"/>
      <w:r w:rsidR="000748F8" w:rsidRPr="000748F8">
        <w:rPr>
          <w:rFonts w:ascii="Times New Roman" w:hAnsi="Times New Roman"/>
          <w:sz w:val="20"/>
          <w:szCs w:val="20"/>
        </w:rPr>
        <w:t xml:space="preserve"> desde el año 2005 al 2015, total y separado por género.</w:t>
      </w:r>
    </w:p>
    <w:p w14:paraId="5A4321C4" w14:textId="77777777" w:rsidR="000748F8" w:rsidRPr="000748F8" w:rsidRDefault="000748F8" w:rsidP="000748F8">
      <w:pPr>
        <w:spacing w:line="240" w:lineRule="auto"/>
        <w:jc w:val="both"/>
        <w:rPr>
          <w:rFonts w:ascii="Times New Roman" w:hAnsi="Times New Roman"/>
          <w:b/>
          <w:sz w:val="20"/>
          <w:szCs w:val="20"/>
        </w:rPr>
      </w:pPr>
    </w:p>
    <w:p w14:paraId="547E2721" w14:textId="76A7EC8E" w:rsidR="00C76FA0" w:rsidRDefault="00BC4ACE" w:rsidP="002B6696">
      <w:pPr>
        <w:spacing w:line="360" w:lineRule="auto"/>
        <w:jc w:val="both"/>
        <w:rPr>
          <w:rFonts w:ascii="Times New Roman" w:hAnsi="Times New Roman"/>
          <w:sz w:val="24"/>
          <w:szCs w:val="24"/>
        </w:rPr>
      </w:pPr>
      <w:r>
        <w:rPr>
          <w:rFonts w:ascii="Times New Roman" w:hAnsi="Times New Roman"/>
          <w:sz w:val="24"/>
          <w:szCs w:val="24"/>
        </w:rPr>
        <w:tab/>
        <w:t>En temas de financiamiento de la salud mental, el presupuesto de salud utilizado en salud mental solo ha alcanzado un 2.1</w:t>
      </w:r>
      <w:r w:rsidR="00D3146D">
        <w:rPr>
          <w:rFonts w:ascii="Times New Roman" w:hAnsi="Times New Roman"/>
          <w:sz w:val="24"/>
          <w:szCs w:val="24"/>
        </w:rPr>
        <w:t>3</w:t>
      </w:r>
      <w:r>
        <w:rPr>
          <w:rFonts w:ascii="Times New Roman" w:hAnsi="Times New Roman"/>
          <w:sz w:val="24"/>
          <w:szCs w:val="24"/>
        </w:rPr>
        <w:t xml:space="preserve">% en el año </w:t>
      </w:r>
      <w:r w:rsidRPr="00E965D2">
        <w:rPr>
          <w:rFonts w:ascii="Times New Roman" w:hAnsi="Times New Roman"/>
          <w:sz w:val="24"/>
          <w:szCs w:val="24"/>
        </w:rPr>
        <w:t xml:space="preserve">2015 (MINSAL, 2017). </w:t>
      </w:r>
      <w:r>
        <w:rPr>
          <w:rFonts w:ascii="Times New Roman" w:hAnsi="Times New Roman"/>
          <w:sz w:val="24"/>
          <w:szCs w:val="24"/>
        </w:rPr>
        <w:t>Este valor es menos de la mitad del 5% planteado en Plan de Salud Mental y Psiquiatría del año 2000, y muestra que el presupuesto en salud mental se ha mantenido prácticamente estable desde el año 2012, en el que ese porcentaje alcanzó el 2.1</w:t>
      </w:r>
      <w:r w:rsidR="00D3146D">
        <w:rPr>
          <w:rFonts w:ascii="Times New Roman" w:hAnsi="Times New Roman"/>
          <w:sz w:val="24"/>
          <w:szCs w:val="24"/>
        </w:rPr>
        <w:t>6</w:t>
      </w:r>
      <w:r w:rsidRPr="00F75A4B">
        <w:rPr>
          <w:rFonts w:ascii="Times New Roman" w:hAnsi="Times New Roman"/>
          <w:sz w:val="24"/>
          <w:szCs w:val="24"/>
        </w:rPr>
        <w:t>% (</w:t>
      </w:r>
      <w:r w:rsidR="00F75A4B" w:rsidRPr="00F75A4B">
        <w:rPr>
          <w:rFonts w:ascii="Times New Roman" w:hAnsi="Times New Roman"/>
          <w:sz w:val="24"/>
          <w:szCs w:val="24"/>
        </w:rPr>
        <w:t>OMS y MINSAL</w:t>
      </w:r>
      <w:r w:rsidR="009868C9" w:rsidRPr="00F75A4B">
        <w:rPr>
          <w:rFonts w:ascii="Times New Roman" w:hAnsi="Times New Roman"/>
          <w:sz w:val="24"/>
          <w:szCs w:val="24"/>
        </w:rPr>
        <w:t>, 2012</w:t>
      </w:r>
      <w:r w:rsidRPr="00F75A4B">
        <w:rPr>
          <w:rFonts w:ascii="Times New Roman" w:hAnsi="Times New Roman"/>
          <w:sz w:val="24"/>
          <w:szCs w:val="24"/>
        </w:rPr>
        <w:t>)</w:t>
      </w:r>
      <w:r w:rsidR="009868C9" w:rsidRPr="00F75A4B">
        <w:rPr>
          <w:rFonts w:ascii="Times New Roman" w:hAnsi="Times New Roman"/>
          <w:sz w:val="24"/>
          <w:szCs w:val="24"/>
        </w:rPr>
        <w:t xml:space="preserve">. </w:t>
      </w:r>
    </w:p>
    <w:p w14:paraId="0D946DE0" w14:textId="064615E8" w:rsidR="001C65E1" w:rsidRDefault="009868C9" w:rsidP="002B6696">
      <w:pPr>
        <w:spacing w:line="360" w:lineRule="auto"/>
        <w:jc w:val="both"/>
        <w:rPr>
          <w:rFonts w:ascii="Times New Roman" w:hAnsi="Times New Roman"/>
          <w:sz w:val="24"/>
          <w:szCs w:val="24"/>
        </w:rPr>
      </w:pPr>
      <w:r>
        <w:rPr>
          <w:rFonts w:ascii="Times New Roman" w:hAnsi="Times New Roman"/>
          <w:sz w:val="24"/>
          <w:szCs w:val="24"/>
        </w:rPr>
        <w:tab/>
        <w:t>El nuevo Plan de Salud Mental plantea un aumento de 0.65% del financiamiento al año, partiendo el 2019, con el fin de llegar al 6% el año 2025</w:t>
      </w:r>
      <w:r w:rsidR="00F90A6E">
        <w:rPr>
          <w:rFonts w:ascii="Times New Roman" w:hAnsi="Times New Roman"/>
          <w:sz w:val="24"/>
          <w:szCs w:val="24"/>
        </w:rPr>
        <w:t xml:space="preserve"> (Minoletti et al., 2012)</w:t>
      </w:r>
      <w:r>
        <w:rPr>
          <w:rFonts w:ascii="Times New Roman" w:hAnsi="Times New Roman"/>
          <w:sz w:val="24"/>
          <w:szCs w:val="24"/>
        </w:rPr>
        <w:t xml:space="preserve">. Sin embargo, este porcentaje parece imposible de alcanzar, cuando dicho presupuesto se ha mantenido prácticamente estático desde el año </w:t>
      </w:r>
      <w:r w:rsidRPr="00F75A4B">
        <w:rPr>
          <w:rFonts w:ascii="Times New Roman" w:hAnsi="Times New Roman"/>
          <w:sz w:val="24"/>
          <w:szCs w:val="24"/>
        </w:rPr>
        <w:t>2000</w:t>
      </w:r>
      <w:r w:rsidR="008D3572" w:rsidRPr="00F75A4B">
        <w:rPr>
          <w:rFonts w:ascii="Times New Roman" w:hAnsi="Times New Roman"/>
          <w:sz w:val="24"/>
          <w:szCs w:val="24"/>
        </w:rPr>
        <w:t xml:space="preserve"> (Ver Gráfico </w:t>
      </w:r>
      <w:r w:rsidR="00186993" w:rsidRPr="00F75A4B">
        <w:rPr>
          <w:rFonts w:ascii="Times New Roman" w:hAnsi="Times New Roman"/>
          <w:sz w:val="24"/>
          <w:szCs w:val="24"/>
        </w:rPr>
        <w:t>A1.</w:t>
      </w:r>
      <w:r w:rsidR="008D3572" w:rsidRPr="00F75A4B">
        <w:rPr>
          <w:rFonts w:ascii="Times New Roman" w:hAnsi="Times New Roman"/>
          <w:sz w:val="24"/>
          <w:szCs w:val="24"/>
        </w:rPr>
        <w:t>3)</w:t>
      </w:r>
      <w:r w:rsidR="001C65E1" w:rsidRPr="00F75A4B">
        <w:rPr>
          <w:rFonts w:ascii="Times New Roman" w:hAnsi="Times New Roman"/>
          <w:sz w:val="24"/>
          <w:szCs w:val="24"/>
        </w:rPr>
        <w:t xml:space="preserve">, con </w:t>
      </w:r>
      <w:r w:rsidR="001C65E1">
        <w:rPr>
          <w:rFonts w:ascii="Times New Roman" w:hAnsi="Times New Roman"/>
          <w:sz w:val="24"/>
          <w:szCs w:val="24"/>
        </w:rPr>
        <w:t>un pequeño aumento alrededor del año 2008, que se vio revertido en los años siguientes.</w:t>
      </w:r>
      <w:r w:rsidR="00F90A6E">
        <w:rPr>
          <w:rFonts w:ascii="Times New Roman" w:hAnsi="Times New Roman"/>
          <w:sz w:val="24"/>
          <w:szCs w:val="24"/>
        </w:rPr>
        <w:t xml:space="preserve"> Quizás, proponer un porcentaje de un 5%, más cercano al promedio de países con altos ingresos como Chile, podría ser una buena estrategia. Por otro lado, habría que presentar un plan real sobre cómo financiar ese aumento en el presupuesto.</w:t>
      </w:r>
    </w:p>
    <w:p w14:paraId="046D86D7" w14:textId="3A958820" w:rsidR="000748F8" w:rsidRDefault="00607664" w:rsidP="002B6696">
      <w:pPr>
        <w:spacing w:line="360" w:lineRule="auto"/>
        <w:jc w:val="both"/>
        <w:rPr>
          <w:rFonts w:ascii="Times New Roman" w:hAnsi="Times New Roman"/>
          <w:sz w:val="24"/>
          <w:szCs w:val="24"/>
        </w:rPr>
      </w:pPr>
      <w:r>
        <w:rPr>
          <w:rFonts w:ascii="Times New Roman" w:hAnsi="Times New Roman"/>
          <w:sz w:val="24"/>
          <w:szCs w:val="24"/>
        </w:rPr>
        <w:lastRenderedPageBreak/>
        <w:t xml:space="preserve">, </w:t>
      </w:r>
    </w:p>
    <w:p w14:paraId="1F8574EC" w14:textId="428C9EC8" w:rsidR="00024B76" w:rsidRDefault="000748F8" w:rsidP="00024B76">
      <w:pPr>
        <w:spacing w:line="360" w:lineRule="auto"/>
        <w:jc w:val="both"/>
        <w:rPr>
          <w:rFonts w:ascii="Times New Roman" w:hAnsi="Times New Roman"/>
          <w:sz w:val="20"/>
          <w:szCs w:val="20"/>
        </w:rPr>
      </w:pPr>
      <w:r>
        <w:rPr>
          <w:rFonts w:ascii="Times New Roman" w:hAnsi="Times New Roman"/>
          <w:sz w:val="20"/>
          <w:szCs w:val="20"/>
        </w:rPr>
        <w:t xml:space="preserve">               </w:t>
      </w:r>
      <w:r w:rsidR="00024B76">
        <w:rPr>
          <w:noProof/>
        </w:rPr>
        <w:drawing>
          <wp:inline distT="0" distB="0" distL="0" distR="0" wp14:anchorId="72F884B5" wp14:editId="43081468">
            <wp:extent cx="4572000" cy="2743200"/>
            <wp:effectExtent l="0" t="0" r="0" b="0"/>
            <wp:docPr id="3" name="Gráfico 3">
              <a:extLst xmlns:a="http://schemas.openxmlformats.org/drawingml/2006/main">
                <a:ext uri="{FF2B5EF4-FFF2-40B4-BE49-F238E27FC236}">
                  <a16:creationId xmlns:a16="http://schemas.microsoft.com/office/drawing/2014/main" id="{619AD288-AE1A-4A22-ACAE-8789E06FD9A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5DE345C5" w14:textId="044B98FB" w:rsidR="00024B76" w:rsidRDefault="00024B76" w:rsidP="000748F8">
      <w:pPr>
        <w:spacing w:line="360" w:lineRule="auto"/>
        <w:jc w:val="center"/>
        <w:rPr>
          <w:rFonts w:ascii="Times New Roman" w:hAnsi="Times New Roman"/>
          <w:sz w:val="20"/>
          <w:szCs w:val="20"/>
        </w:rPr>
      </w:pPr>
      <w:r w:rsidRPr="00C0107D">
        <w:rPr>
          <w:rFonts w:ascii="Times New Roman" w:hAnsi="Times New Roman"/>
          <w:b/>
          <w:sz w:val="20"/>
          <w:szCs w:val="20"/>
        </w:rPr>
        <w:t>Gráfico A1.3.</w:t>
      </w:r>
      <w:r w:rsidRPr="00024B76">
        <w:rPr>
          <w:rFonts w:ascii="Times New Roman" w:hAnsi="Times New Roman"/>
          <w:sz w:val="20"/>
          <w:szCs w:val="20"/>
        </w:rPr>
        <w:t xml:space="preserve"> Porcentaje del presupuesto en salud destinado a salud mental entre el año 2000 al 2015</w:t>
      </w:r>
      <w:r w:rsidR="000748F8">
        <w:rPr>
          <w:rFonts w:ascii="Times New Roman" w:hAnsi="Times New Roman"/>
          <w:sz w:val="20"/>
          <w:szCs w:val="20"/>
        </w:rPr>
        <w:t>.</w:t>
      </w:r>
    </w:p>
    <w:p w14:paraId="0D5B8C52" w14:textId="3020E43B" w:rsidR="008855D5" w:rsidRDefault="00F90A6E" w:rsidP="00F90A6E">
      <w:pPr>
        <w:spacing w:line="360" w:lineRule="auto"/>
        <w:jc w:val="both"/>
        <w:rPr>
          <w:rFonts w:ascii="Times New Roman" w:hAnsi="Times New Roman"/>
          <w:sz w:val="24"/>
          <w:szCs w:val="24"/>
        </w:rPr>
      </w:pPr>
      <w:r>
        <w:rPr>
          <w:rFonts w:ascii="Times New Roman" w:hAnsi="Times New Roman"/>
          <w:sz w:val="24"/>
          <w:szCs w:val="24"/>
        </w:rPr>
        <w:tab/>
        <w:t>Sobre la investigación en Salud Mental</w:t>
      </w:r>
      <w:r w:rsidR="00607664">
        <w:rPr>
          <w:rFonts w:ascii="Times New Roman" w:hAnsi="Times New Roman"/>
          <w:sz w:val="24"/>
          <w:szCs w:val="24"/>
        </w:rPr>
        <w:t>, el Plan menciona como meta gestionar que el 15% de los recursos entregados a través de FONIS, FONDEF y FONDECYT se otorguen para la investigación en salud mental. La verdad es que, si bien esto debiese ser un tema prioritario para el país, un 15% de los fondos de investigación dedicados a salud mental parece ser una meta poco posible de alcanzar en un país donde la agricultura y la minería, prioritarias en términos económicos, la astronomía, prioritaria desde el área de las ciencias y otras áreas de la salud, compiten por los mismos recursos. Quizás, una aproximación más realista sobre este tema podría ser aumentar el presupuesto que hoy día se entrega en porcentajes estables dentro de los próximos años.</w:t>
      </w:r>
    </w:p>
    <w:p w14:paraId="38AEAEC9" w14:textId="6159E27F" w:rsidR="57FB4585" w:rsidRDefault="57FB4585" w:rsidP="57FB4585">
      <w:pPr>
        <w:spacing w:line="360" w:lineRule="auto"/>
        <w:jc w:val="both"/>
        <w:rPr>
          <w:rFonts w:ascii="Times New Roman" w:hAnsi="Times New Roman"/>
          <w:sz w:val="24"/>
          <w:szCs w:val="24"/>
        </w:rPr>
      </w:pPr>
    </w:p>
    <w:p w14:paraId="056B16EA" w14:textId="51699026" w:rsidR="00A61758" w:rsidRDefault="57FB4585" w:rsidP="00F90A6E">
      <w:pPr>
        <w:spacing w:line="360" w:lineRule="auto"/>
        <w:jc w:val="both"/>
        <w:rPr>
          <w:rFonts w:ascii="Times New Roman" w:hAnsi="Times New Roman"/>
          <w:b/>
          <w:sz w:val="24"/>
          <w:szCs w:val="24"/>
        </w:rPr>
      </w:pPr>
      <w:r w:rsidRPr="57FB4585">
        <w:rPr>
          <w:rFonts w:ascii="Times New Roman" w:hAnsi="Times New Roman"/>
          <w:b/>
          <w:bCs/>
          <w:sz w:val="24"/>
          <w:szCs w:val="24"/>
        </w:rPr>
        <w:t>Conclusiones</w:t>
      </w:r>
    </w:p>
    <w:p w14:paraId="718B6DE2" w14:textId="0F886ADE" w:rsidR="57FB4585" w:rsidRPr="00AF4127" w:rsidRDefault="00AF4127" w:rsidP="57FB4585">
      <w:pPr>
        <w:spacing w:line="360" w:lineRule="auto"/>
        <w:jc w:val="both"/>
        <w:rPr>
          <w:rFonts w:ascii="Times New Roman" w:hAnsi="Times New Roman"/>
          <w:bCs/>
          <w:sz w:val="24"/>
          <w:szCs w:val="24"/>
        </w:rPr>
      </w:pPr>
      <w:r>
        <w:rPr>
          <w:rFonts w:ascii="Times New Roman" w:hAnsi="Times New Roman"/>
          <w:b/>
          <w:bCs/>
          <w:sz w:val="24"/>
          <w:szCs w:val="24"/>
        </w:rPr>
        <w:tab/>
      </w:r>
      <w:r w:rsidRPr="00AF4127">
        <w:rPr>
          <w:rFonts w:ascii="Times New Roman" w:hAnsi="Times New Roman"/>
          <w:bCs/>
          <w:sz w:val="24"/>
          <w:szCs w:val="24"/>
        </w:rPr>
        <w:t xml:space="preserve">Si bien han existido </w:t>
      </w:r>
      <w:r>
        <w:rPr>
          <w:rFonts w:ascii="Times New Roman" w:hAnsi="Times New Roman"/>
          <w:bCs/>
          <w:sz w:val="24"/>
          <w:szCs w:val="24"/>
        </w:rPr>
        <w:t xml:space="preserve">avances en materia de salud mental en Chile, como el aumento de profesionales de la salud mental en APS, sigue existiendo una gran deuda con esta área de la salud. El presupuesto de salud dedicado a salud mental en el año 2015 no difiere del encontrado el año 2000, para el comienzo del primer Plan Nacional de Salud Mental y Psiquiatría. Por el momento, me parece prioritario disminuir los tiempos de espera para </w:t>
      </w:r>
      <w:r>
        <w:rPr>
          <w:rFonts w:ascii="Times New Roman" w:hAnsi="Times New Roman"/>
          <w:bCs/>
          <w:sz w:val="24"/>
          <w:szCs w:val="24"/>
        </w:rPr>
        <w:lastRenderedPageBreak/>
        <w:t xml:space="preserve">primera consulta, que según los reportes WHO-AIMS han aumentado en los últimos años, así como </w:t>
      </w:r>
      <w:r w:rsidR="00D627EF">
        <w:rPr>
          <w:rFonts w:ascii="Times New Roman" w:hAnsi="Times New Roman"/>
          <w:bCs/>
          <w:sz w:val="24"/>
          <w:szCs w:val="24"/>
        </w:rPr>
        <w:t xml:space="preserve">disminuir la brecha en atención que existe entre la Región Metropolitana y las otras regiones. </w:t>
      </w:r>
    </w:p>
    <w:p w14:paraId="061AFBEA" w14:textId="731F83C0" w:rsidR="57FB4585" w:rsidRDefault="57FB4585" w:rsidP="57FB4585">
      <w:pPr>
        <w:spacing w:line="360" w:lineRule="auto"/>
        <w:ind w:firstLine="708"/>
        <w:jc w:val="both"/>
        <w:rPr>
          <w:rFonts w:ascii="Times New Roman" w:hAnsi="Times New Roman"/>
          <w:sz w:val="24"/>
          <w:szCs w:val="24"/>
        </w:rPr>
      </w:pPr>
    </w:p>
    <w:p w14:paraId="59CBEE60" w14:textId="77777777" w:rsidR="00A61758" w:rsidRPr="00A61758" w:rsidRDefault="00A61758" w:rsidP="00F90A6E">
      <w:pPr>
        <w:spacing w:line="360" w:lineRule="auto"/>
        <w:jc w:val="both"/>
        <w:rPr>
          <w:rFonts w:ascii="Times New Roman" w:hAnsi="Times New Roman"/>
          <w:b/>
          <w:sz w:val="24"/>
          <w:szCs w:val="24"/>
        </w:rPr>
      </w:pPr>
    </w:p>
    <w:p w14:paraId="7A9FE386" w14:textId="77777777" w:rsidR="00607664" w:rsidRDefault="00607664" w:rsidP="00F90A6E">
      <w:pPr>
        <w:spacing w:line="360" w:lineRule="auto"/>
        <w:jc w:val="both"/>
        <w:rPr>
          <w:rFonts w:ascii="Times New Roman" w:hAnsi="Times New Roman"/>
          <w:sz w:val="24"/>
          <w:szCs w:val="24"/>
        </w:rPr>
      </w:pPr>
    </w:p>
    <w:p w14:paraId="03BFF552" w14:textId="76330468" w:rsidR="00F90A6E" w:rsidRPr="00F90A6E" w:rsidRDefault="00F90A6E" w:rsidP="00F90A6E">
      <w:pPr>
        <w:spacing w:line="360" w:lineRule="auto"/>
        <w:jc w:val="both"/>
        <w:rPr>
          <w:rFonts w:ascii="Times New Roman" w:hAnsi="Times New Roman"/>
          <w:sz w:val="24"/>
          <w:szCs w:val="24"/>
        </w:rPr>
      </w:pPr>
      <w:r>
        <w:rPr>
          <w:rFonts w:ascii="Times New Roman" w:hAnsi="Times New Roman"/>
          <w:sz w:val="24"/>
          <w:szCs w:val="24"/>
        </w:rPr>
        <w:tab/>
      </w:r>
    </w:p>
    <w:p w14:paraId="0C22E34F" w14:textId="77777777" w:rsidR="00A72AD8" w:rsidRDefault="00A72AD8">
      <w:pPr>
        <w:rPr>
          <w:rFonts w:ascii="Times New Roman" w:hAnsi="Times New Roman" w:cs="Times New Roman"/>
          <w:sz w:val="24"/>
          <w:szCs w:val="24"/>
        </w:rPr>
      </w:pPr>
      <w:r>
        <w:rPr>
          <w:rFonts w:ascii="Times New Roman" w:hAnsi="Times New Roman" w:cs="Times New Roman"/>
          <w:sz w:val="24"/>
          <w:szCs w:val="24"/>
        </w:rPr>
        <w:br w:type="page"/>
      </w:r>
    </w:p>
    <w:p w14:paraId="14DA44AA" w14:textId="640F0ADE" w:rsidR="00A61758" w:rsidRDefault="008F78E3" w:rsidP="0052103D">
      <w:pPr>
        <w:spacing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 xml:space="preserve">Capítulo </w:t>
      </w:r>
      <w:r w:rsidR="00A61758">
        <w:rPr>
          <w:rFonts w:ascii="Times New Roman" w:hAnsi="Times New Roman" w:cs="Times New Roman"/>
          <w:b/>
          <w:sz w:val="24"/>
          <w:szCs w:val="24"/>
        </w:rPr>
        <w:t>II</w:t>
      </w:r>
    </w:p>
    <w:p w14:paraId="719A0DD9" w14:textId="49AF6A88" w:rsidR="00510EE5" w:rsidRDefault="008F78E3" w:rsidP="0052103D">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 </w:t>
      </w:r>
      <w:r w:rsidR="009B4559">
        <w:rPr>
          <w:rFonts w:ascii="Times New Roman" w:hAnsi="Times New Roman" w:cs="Times New Roman"/>
          <w:b/>
          <w:sz w:val="24"/>
          <w:szCs w:val="24"/>
        </w:rPr>
        <w:t xml:space="preserve">Propiedades Psicométricas del </w:t>
      </w:r>
      <w:r w:rsidR="00A14D22">
        <w:rPr>
          <w:rFonts w:ascii="Times New Roman" w:hAnsi="Times New Roman" w:cs="Times New Roman"/>
          <w:b/>
          <w:sz w:val="24"/>
          <w:szCs w:val="24"/>
        </w:rPr>
        <w:t>Inventario de Depresión de Beck IA para la Población Chilena</w:t>
      </w:r>
    </w:p>
    <w:p w14:paraId="6996C4D0" w14:textId="20AC2BA7" w:rsidR="00B07E71" w:rsidRPr="00B07E71" w:rsidRDefault="00B07E71" w:rsidP="0052103D">
      <w:pPr>
        <w:spacing w:line="360" w:lineRule="auto"/>
        <w:jc w:val="center"/>
        <w:rPr>
          <w:rFonts w:ascii="Times New Roman" w:hAnsi="Times New Roman" w:cs="Times New Roman"/>
          <w:b/>
          <w:sz w:val="24"/>
          <w:szCs w:val="24"/>
        </w:rPr>
      </w:pPr>
      <w:r w:rsidRPr="00B07E71">
        <w:rPr>
          <w:rFonts w:ascii="Times New Roman" w:hAnsi="Times New Roman" w:cs="Times New Roman"/>
          <w:b/>
          <w:iCs/>
          <w:color w:val="000000"/>
        </w:rPr>
        <w:t>Valdés, C</w:t>
      </w:r>
      <w:r w:rsidRPr="00B07E71">
        <w:rPr>
          <w:rFonts w:ascii="Times New Roman" w:hAnsi="Times New Roman" w:cs="Times New Roman"/>
          <w:iCs/>
          <w:color w:val="000000"/>
        </w:rPr>
        <w:t>., Morales-Reyes, I., Pérez, JC., Medellín, A., Rojas, G., Krause, M.</w:t>
      </w:r>
    </w:p>
    <w:p w14:paraId="77BA6EE4" w14:textId="38AF4AC7" w:rsidR="00A14D22" w:rsidRPr="00A14D22" w:rsidRDefault="00A14D22" w:rsidP="0052103D">
      <w:pPr>
        <w:spacing w:line="360" w:lineRule="auto"/>
        <w:jc w:val="center"/>
        <w:rPr>
          <w:rFonts w:ascii="Times New Roman" w:hAnsi="Times New Roman" w:cs="Times New Roman"/>
          <w:i/>
          <w:sz w:val="24"/>
          <w:szCs w:val="24"/>
        </w:rPr>
      </w:pPr>
      <w:r>
        <w:rPr>
          <w:rFonts w:ascii="Times New Roman" w:hAnsi="Times New Roman" w:cs="Times New Roman"/>
          <w:i/>
          <w:sz w:val="24"/>
          <w:szCs w:val="24"/>
        </w:rPr>
        <w:t>Publicado en la Revista Médica de Chile</w:t>
      </w:r>
    </w:p>
    <w:p w14:paraId="5D754A7E" w14:textId="77777777" w:rsidR="00510EE5" w:rsidRPr="0052103D" w:rsidRDefault="00510EE5" w:rsidP="00526A27">
      <w:pPr>
        <w:spacing w:line="360" w:lineRule="auto"/>
        <w:jc w:val="both"/>
        <w:rPr>
          <w:rFonts w:ascii="Times New Roman" w:hAnsi="Times New Roman" w:cs="Times New Roman"/>
          <w:b/>
          <w:sz w:val="24"/>
          <w:szCs w:val="24"/>
        </w:rPr>
      </w:pPr>
    </w:p>
    <w:p w14:paraId="3177060C" w14:textId="3E1241DB" w:rsidR="00A72AD8" w:rsidRPr="0052103D" w:rsidRDefault="00A72AD8" w:rsidP="00526A27">
      <w:pPr>
        <w:spacing w:line="360" w:lineRule="auto"/>
        <w:jc w:val="both"/>
        <w:rPr>
          <w:rFonts w:ascii="Times New Roman" w:hAnsi="Times New Roman" w:cs="Times New Roman"/>
          <w:b/>
          <w:sz w:val="24"/>
          <w:szCs w:val="24"/>
        </w:rPr>
      </w:pPr>
      <w:r w:rsidRPr="0052103D">
        <w:rPr>
          <w:rFonts w:ascii="Times New Roman" w:hAnsi="Times New Roman" w:cs="Times New Roman"/>
          <w:b/>
          <w:sz w:val="24"/>
          <w:szCs w:val="24"/>
        </w:rPr>
        <w:t>Introducción</w:t>
      </w:r>
    </w:p>
    <w:p w14:paraId="3E2FC49D" w14:textId="6BD268B3" w:rsidR="00A72AD8" w:rsidRPr="00526A27" w:rsidRDefault="00A72AD8" w:rsidP="00526A27">
      <w:pPr>
        <w:spacing w:line="360" w:lineRule="auto"/>
        <w:jc w:val="both"/>
        <w:rPr>
          <w:rFonts w:ascii="Times New Roman" w:hAnsi="Times New Roman" w:cs="Times New Roman"/>
          <w:sz w:val="24"/>
          <w:szCs w:val="24"/>
        </w:rPr>
      </w:pPr>
      <w:r w:rsidRPr="00526A27">
        <w:rPr>
          <w:rFonts w:ascii="Times New Roman" w:hAnsi="Times New Roman" w:cs="Times New Roman"/>
          <w:sz w:val="24"/>
          <w:szCs w:val="24"/>
        </w:rPr>
        <w:t>La depresión es una alteración del ánimo que se manifiesta a través de una serie de manifestaciones sintomáticas que incluyen tristeza patológica, anhedonia, irritabilidad, sentimientos de culpa, pesimismo y desesperanza (</w:t>
      </w:r>
      <w:r w:rsidR="00B52FDF">
        <w:rPr>
          <w:rFonts w:ascii="Times New Roman" w:hAnsi="Times New Roman" w:cs="Times New Roman"/>
          <w:sz w:val="24"/>
          <w:szCs w:val="24"/>
        </w:rPr>
        <w:t>Izquierdo, 2011</w:t>
      </w:r>
      <w:r w:rsidRPr="00526A27">
        <w:rPr>
          <w:rFonts w:ascii="Times New Roman" w:hAnsi="Times New Roman" w:cs="Times New Roman"/>
          <w:sz w:val="24"/>
          <w:szCs w:val="24"/>
        </w:rPr>
        <w:t>). Deteriora la calidad de vida de las personas que la padecen, así como la de su entorno familiar y social (</w:t>
      </w:r>
      <w:r w:rsidR="00B52FDF" w:rsidRPr="00526A27">
        <w:rPr>
          <w:rFonts w:ascii="Times New Roman" w:hAnsi="Times New Roman" w:cs="Times New Roman"/>
          <w:sz w:val="24"/>
          <w:szCs w:val="24"/>
        </w:rPr>
        <w:t>Martínez, Rojas</w:t>
      </w:r>
      <w:r w:rsidR="00B52FDF">
        <w:rPr>
          <w:rFonts w:ascii="Times New Roman" w:hAnsi="Times New Roman" w:cs="Times New Roman"/>
          <w:sz w:val="24"/>
          <w:szCs w:val="24"/>
        </w:rPr>
        <w:t xml:space="preserve"> y</w:t>
      </w:r>
      <w:r w:rsidR="00B52FDF" w:rsidRPr="00526A27">
        <w:rPr>
          <w:rFonts w:ascii="Times New Roman" w:hAnsi="Times New Roman" w:cs="Times New Roman"/>
          <w:sz w:val="24"/>
          <w:szCs w:val="24"/>
        </w:rPr>
        <w:t xml:space="preserve"> Fritsch</w:t>
      </w:r>
      <w:r w:rsidR="00B52FDF">
        <w:rPr>
          <w:rFonts w:ascii="Times New Roman" w:hAnsi="Times New Roman" w:cs="Times New Roman"/>
          <w:sz w:val="24"/>
          <w:szCs w:val="24"/>
        </w:rPr>
        <w:t>, 2008</w:t>
      </w:r>
      <w:r w:rsidRPr="00526A27">
        <w:rPr>
          <w:rFonts w:ascii="Times New Roman" w:hAnsi="Times New Roman" w:cs="Times New Roman"/>
          <w:sz w:val="24"/>
          <w:szCs w:val="24"/>
        </w:rPr>
        <w:t>). Si bien existe consenso respecto a lo anterior, no hay una conceptualización unívoca de la etiología y tipología de la depresión.</w:t>
      </w:r>
    </w:p>
    <w:p w14:paraId="49969519" w14:textId="07161B5A" w:rsidR="00A72AD8" w:rsidRPr="00526A27" w:rsidRDefault="57FB4585" w:rsidP="57FB4585">
      <w:pPr>
        <w:spacing w:line="360" w:lineRule="auto"/>
        <w:jc w:val="both"/>
        <w:rPr>
          <w:rFonts w:ascii="Times New Roman" w:hAnsi="Times New Roman" w:cs="Times New Roman"/>
          <w:sz w:val="24"/>
          <w:szCs w:val="24"/>
        </w:rPr>
      </w:pPr>
      <w:r w:rsidRPr="57FB4585">
        <w:rPr>
          <w:rFonts w:ascii="Times New Roman" w:hAnsi="Times New Roman" w:cs="Times New Roman"/>
          <w:sz w:val="24"/>
          <w:szCs w:val="24"/>
        </w:rPr>
        <w:t>De acuerdo a la Encuesta Nacional de Salud (</w:t>
      </w:r>
      <w:r w:rsidR="00E965D2">
        <w:rPr>
          <w:rFonts w:ascii="Times New Roman" w:hAnsi="Times New Roman" w:cs="Times New Roman"/>
          <w:sz w:val="24"/>
          <w:szCs w:val="24"/>
        </w:rPr>
        <w:t>MINSAL, 2011</w:t>
      </w:r>
      <w:r w:rsidRPr="57FB4585">
        <w:rPr>
          <w:rFonts w:ascii="Times New Roman" w:hAnsi="Times New Roman" w:cs="Times New Roman"/>
          <w:sz w:val="24"/>
          <w:szCs w:val="24"/>
        </w:rPr>
        <w:t>), realizada entre los años 2009 y 2010, la prevalencia de síntomas depresivos en las personas mayores de 15 años es de 17,2%, valor que aumenta a 25,7% si se considera sólo a las mujeres. Según los datos epidemiológicos arrojados por el estudio de Vicente y colaboradores en el año 2002, la prevalencia de vida de depresión alcanza un 9% en las mujeres y un 6,4% en los hombres (</w:t>
      </w:r>
      <w:r w:rsidR="00E965D2">
        <w:rPr>
          <w:rFonts w:ascii="Times New Roman" w:hAnsi="Times New Roman" w:cs="Times New Roman"/>
          <w:sz w:val="24"/>
          <w:szCs w:val="24"/>
        </w:rPr>
        <w:t>Vicente, Rioseco, Saldivia, Kohn y Torres, 2002</w:t>
      </w:r>
      <w:r w:rsidRPr="57FB4585">
        <w:rPr>
          <w:rFonts w:ascii="Times New Roman" w:hAnsi="Times New Roman" w:cs="Times New Roman"/>
          <w:sz w:val="24"/>
          <w:szCs w:val="24"/>
        </w:rPr>
        <w:t>). De acuerdo al estudio de Carga de Enfermedad y Carga Atribuible, la depresión unipolar es la segunda causa de años de vida perdidos ajustados por discapacidad en población general en Chile y la primera en mujeres entre 20 y 44 años (</w:t>
      </w:r>
      <w:r w:rsidR="00E965D2">
        <w:rPr>
          <w:rFonts w:ascii="Times New Roman" w:hAnsi="Times New Roman" w:cs="Times New Roman"/>
          <w:sz w:val="24"/>
          <w:szCs w:val="24"/>
        </w:rPr>
        <w:t>MINSAL, 2008</w:t>
      </w:r>
      <w:r w:rsidRPr="57FB4585">
        <w:rPr>
          <w:rFonts w:ascii="Times New Roman" w:hAnsi="Times New Roman" w:cs="Times New Roman"/>
          <w:sz w:val="24"/>
          <w:szCs w:val="24"/>
        </w:rPr>
        <w:t>). Entre los años 2008 y 2009, los trastornos mentales y del comportamiento generaron el mayor gasto por concepto de licencias médicas en el país (20,7%), y dentro de estos trastornos, la depresión corresponde al 59,3% (</w:t>
      </w:r>
      <w:proofErr w:type="gramStart"/>
      <w:r w:rsidR="00E965D2">
        <w:rPr>
          <w:rFonts w:ascii="Times New Roman" w:hAnsi="Times New Roman" w:cs="Times New Roman"/>
          <w:sz w:val="24"/>
          <w:szCs w:val="24"/>
        </w:rPr>
        <w:t>DEIS,  2012</w:t>
      </w:r>
      <w:proofErr w:type="gramEnd"/>
      <w:r w:rsidRPr="57FB4585">
        <w:rPr>
          <w:rFonts w:ascii="Times New Roman" w:hAnsi="Times New Roman" w:cs="Times New Roman"/>
          <w:sz w:val="24"/>
          <w:szCs w:val="24"/>
        </w:rPr>
        <w:t>).</w:t>
      </w:r>
    </w:p>
    <w:p w14:paraId="30E2C6A9" w14:textId="57185F7B" w:rsidR="00A72AD8" w:rsidRPr="00526A27" w:rsidRDefault="00A72AD8" w:rsidP="00526A27">
      <w:pPr>
        <w:spacing w:line="360" w:lineRule="auto"/>
        <w:jc w:val="both"/>
        <w:rPr>
          <w:rFonts w:ascii="Times New Roman" w:hAnsi="Times New Roman" w:cs="Times New Roman"/>
          <w:sz w:val="24"/>
          <w:szCs w:val="24"/>
        </w:rPr>
      </w:pPr>
      <w:r w:rsidRPr="00526A27">
        <w:rPr>
          <w:rFonts w:ascii="Times New Roman" w:hAnsi="Times New Roman" w:cs="Times New Roman"/>
          <w:sz w:val="24"/>
          <w:szCs w:val="24"/>
        </w:rPr>
        <w:t xml:space="preserve">La detección confiable de la depresión es necesaria para su abordaje oportuno y tratamiento apropiado, acciones esenciales para disminuir la carga de enfermedad que este trastorno representa. Es por esto que el uso de instrumentos que evalúen la sintomatología depresiva </w:t>
      </w:r>
      <w:r w:rsidRPr="00526A27">
        <w:rPr>
          <w:rFonts w:ascii="Times New Roman" w:hAnsi="Times New Roman" w:cs="Times New Roman"/>
          <w:sz w:val="24"/>
          <w:szCs w:val="24"/>
        </w:rPr>
        <w:lastRenderedPageBreak/>
        <w:t>de forma dimensional es de vital importancia para las tareas de cribado y diagnóstico, tanto en muestras clínicas como en la población general (</w:t>
      </w:r>
      <w:r w:rsidR="00E965D2">
        <w:rPr>
          <w:rFonts w:ascii="Times New Roman" w:hAnsi="Times New Roman" w:cs="Times New Roman"/>
          <w:sz w:val="24"/>
          <w:szCs w:val="24"/>
        </w:rPr>
        <w:t>Posada, 2005</w:t>
      </w:r>
      <w:r w:rsidRPr="00526A27">
        <w:rPr>
          <w:rFonts w:ascii="Times New Roman" w:hAnsi="Times New Roman" w:cs="Times New Roman"/>
          <w:sz w:val="24"/>
          <w:szCs w:val="24"/>
        </w:rPr>
        <w:t>).</w:t>
      </w:r>
    </w:p>
    <w:p w14:paraId="06EC0E6D" w14:textId="41C0A1FA" w:rsidR="00A72AD8" w:rsidRPr="00526A27" w:rsidRDefault="00A72AD8" w:rsidP="00526A27">
      <w:pPr>
        <w:spacing w:line="360" w:lineRule="auto"/>
        <w:jc w:val="both"/>
        <w:rPr>
          <w:rFonts w:ascii="Times New Roman" w:hAnsi="Times New Roman" w:cs="Times New Roman"/>
          <w:sz w:val="24"/>
          <w:szCs w:val="24"/>
        </w:rPr>
      </w:pPr>
      <w:r w:rsidRPr="00526A27">
        <w:rPr>
          <w:rFonts w:ascii="Times New Roman" w:hAnsi="Times New Roman" w:cs="Times New Roman"/>
          <w:sz w:val="24"/>
          <w:szCs w:val="24"/>
        </w:rPr>
        <w:t>El Inventario de Depresión de Beck I (internacionalmente conocido como BDI-I), es una de las escalas más utilizadas en el mundo para medir la severidad de los síntomas de depresión en muestras clínicas y no clínicas (</w:t>
      </w:r>
      <w:r w:rsidR="00E965D2">
        <w:rPr>
          <w:rFonts w:ascii="Times New Roman" w:hAnsi="Times New Roman" w:cs="Times New Roman"/>
          <w:sz w:val="24"/>
          <w:szCs w:val="24"/>
        </w:rPr>
        <w:t xml:space="preserve">Beck, </w:t>
      </w:r>
      <w:proofErr w:type="spellStart"/>
      <w:r w:rsidR="00E965D2">
        <w:rPr>
          <w:rFonts w:ascii="Times New Roman" w:hAnsi="Times New Roman" w:cs="Times New Roman"/>
          <w:sz w:val="24"/>
          <w:szCs w:val="24"/>
        </w:rPr>
        <w:t>Steer</w:t>
      </w:r>
      <w:proofErr w:type="spellEnd"/>
      <w:r w:rsidR="00E965D2">
        <w:rPr>
          <w:rFonts w:ascii="Times New Roman" w:hAnsi="Times New Roman" w:cs="Times New Roman"/>
          <w:sz w:val="24"/>
          <w:szCs w:val="24"/>
        </w:rPr>
        <w:t xml:space="preserve"> y </w:t>
      </w:r>
      <w:proofErr w:type="spellStart"/>
      <w:r w:rsidR="00E965D2">
        <w:rPr>
          <w:rFonts w:ascii="Times New Roman" w:hAnsi="Times New Roman" w:cs="Times New Roman"/>
          <w:sz w:val="24"/>
          <w:szCs w:val="24"/>
        </w:rPr>
        <w:t>Carbin</w:t>
      </w:r>
      <w:proofErr w:type="spellEnd"/>
      <w:r w:rsidR="00E965D2">
        <w:rPr>
          <w:rFonts w:ascii="Times New Roman" w:hAnsi="Times New Roman" w:cs="Times New Roman"/>
          <w:sz w:val="24"/>
          <w:szCs w:val="24"/>
        </w:rPr>
        <w:t>, 1988</w:t>
      </w:r>
      <w:r w:rsidRPr="00526A27">
        <w:rPr>
          <w:rFonts w:ascii="Times New Roman" w:hAnsi="Times New Roman" w:cs="Times New Roman"/>
          <w:sz w:val="24"/>
          <w:szCs w:val="24"/>
        </w:rPr>
        <w:t>). Las propiedades psicométricas del instrumento han sido reportadas en un artículo que integra los resultados de estudios realizados con este inventario durante 25 años, mostrando que posee características psicométricas adecuadas (</w:t>
      </w:r>
      <w:r w:rsidR="00E965D2">
        <w:rPr>
          <w:rFonts w:ascii="Times New Roman" w:hAnsi="Times New Roman" w:cs="Times New Roman"/>
          <w:sz w:val="24"/>
          <w:szCs w:val="24"/>
        </w:rPr>
        <w:t>Beck et al., 1988</w:t>
      </w:r>
      <w:r w:rsidRPr="00526A27">
        <w:rPr>
          <w:rFonts w:ascii="Times New Roman" w:hAnsi="Times New Roman" w:cs="Times New Roman"/>
          <w:sz w:val="24"/>
          <w:szCs w:val="24"/>
        </w:rPr>
        <w:t>).</w:t>
      </w:r>
    </w:p>
    <w:p w14:paraId="28F21496" w14:textId="77777777" w:rsidR="00A72AD8" w:rsidRPr="00526A27" w:rsidRDefault="00A72AD8" w:rsidP="00526A27">
      <w:pPr>
        <w:spacing w:line="360" w:lineRule="auto"/>
        <w:jc w:val="both"/>
        <w:rPr>
          <w:rFonts w:ascii="Times New Roman" w:hAnsi="Times New Roman" w:cs="Times New Roman"/>
          <w:sz w:val="24"/>
          <w:szCs w:val="24"/>
        </w:rPr>
      </w:pPr>
      <w:r w:rsidRPr="00526A27">
        <w:rPr>
          <w:rFonts w:ascii="Times New Roman" w:hAnsi="Times New Roman" w:cs="Times New Roman"/>
          <w:sz w:val="24"/>
          <w:szCs w:val="24"/>
        </w:rPr>
        <w:t>El presente estudio tuvo como objetivo evaluar las características psicométricas del BDI-IA en la población chilena, en términos de su consistencia interna, su estructura factorial, y para establecer el puntaje de corte que permita distinguir entre una muestra clínica y una muestra no clínica respecto a la patología depresiva.</w:t>
      </w:r>
    </w:p>
    <w:p w14:paraId="7C8B1118" w14:textId="183FF0A6" w:rsidR="00A72AD8" w:rsidRPr="0052103D" w:rsidRDefault="00A72AD8" w:rsidP="00526A27">
      <w:pPr>
        <w:spacing w:line="360" w:lineRule="auto"/>
        <w:jc w:val="both"/>
        <w:rPr>
          <w:rFonts w:ascii="Times New Roman" w:hAnsi="Times New Roman" w:cs="Times New Roman"/>
          <w:b/>
          <w:sz w:val="24"/>
          <w:szCs w:val="24"/>
        </w:rPr>
      </w:pPr>
      <w:r w:rsidRPr="0052103D">
        <w:rPr>
          <w:rFonts w:ascii="Times New Roman" w:hAnsi="Times New Roman" w:cs="Times New Roman"/>
          <w:b/>
          <w:sz w:val="24"/>
          <w:szCs w:val="24"/>
        </w:rPr>
        <w:t>Material y Métodos</w:t>
      </w:r>
    </w:p>
    <w:p w14:paraId="7E1BD295" w14:textId="5A1AC06C" w:rsidR="00A72AD8" w:rsidRPr="0052103D" w:rsidRDefault="00A72AD8" w:rsidP="0052103D">
      <w:pPr>
        <w:spacing w:line="360" w:lineRule="auto"/>
        <w:rPr>
          <w:rFonts w:ascii="Times New Roman" w:hAnsi="Times New Roman" w:cs="Times New Roman"/>
          <w:b/>
          <w:i/>
          <w:sz w:val="24"/>
          <w:szCs w:val="24"/>
        </w:rPr>
      </w:pPr>
      <w:r w:rsidRPr="0052103D">
        <w:rPr>
          <w:rFonts w:ascii="Times New Roman" w:hAnsi="Times New Roman" w:cs="Times New Roman"/>
          <w:b/>
          <w:i/>
          <w:sz w:val="24"/>
          <w:szCs w:val="24"/>
        </w:rPr>
        <w:t>Muestra</w:t>
      </w:r>
    </w:p>
    <w:p w14:paraId="0C6A8A8E" w14:textId="77777777" w:rsidR="00A72AD8" w:rsidRPr="00526A27" w:rsidRDefault="00A72AD8" w:rsidP="00526A27">
      <w:pPr>
        <w:spacing w:line="360" w:lineRule="auto"/>
        <w:jc w:val="both"/>
        <w:rPr>
          <w:rFonts w:ascii="Times New Roman" w:hAnsi="Times New Roman" w:cs="Times New Roman"/>
          <w:sz w:val="24"/>
          <w:szCs w:val="24"/>
        </w:rPr>
      </w:pPr>
      <w:r w:rsidRPr="00526A27">
        <w:rPr>
          <w:rFonts w:ascii="Times New Roman" w:hAnsi="Times New Roman" w:cs="Times New Roman"/>
          <w:sz w:val="24"/>
          <w:szCs w:val="24"/>
        </w:rPr>
        <w:t>La muestra total estuvo compuesta por 1.105 adultos (18-73 años, 94% mujeres) provenientes de tres estudios independientes, desarrollados en el marco del Instituto Milenio para la Investigación en Depresión y Personalidad (MIDAP).</w:t>
      </w:r>
    </w:p>
    <w:p w14:paraId="6E5216C4" w14:textId="77777777" w:rsidR="00A72AD8" w:rsidRPr="00526A27" w:rsidRDefault="00A72AD8" w:rsidP="00526A27">
      <w:pPr>
        <w:spacing w:line="360" w:lineRule="auto"/>
        <w:jc w:val="both"/>
        <w:rPr>
          <w:rFonts w:ascii="Times New Roman" w:hAnsi="Times New Roman" w:cs="Times New Roman"/>
          <w:sz w:val="24"/>
          <w:szCs w:val="24"/>
        </w:rPr>
      </w:pPr>
      <w:r w:rsidRPr="00526A27">
        <w:rPr>
          <w:rFonts w:ascii="Times New Roman" w:hAnsi="Times New Roman" w:cs="Times New Roman"/>
          <w:sz w:val="24"/>
          <w:szCs w:val="24"/>
        </w:rPr>
        <w:t xml:space="preserve">La muestra estuvo conformada por un grupo de 99 consultantes (18-68 años, 78% mujeres) de un servicio de salud ambulatorio, quienes presentaban un diagnóstico clínico de depresión, un grupo de 73 estudiantes universitarios (18-24 años, 62% mujeres) y 932 apoderados de establecimientos educacionales (26-73 años, 97% mujeres) sin diagnóstico conocido, y quienes reportaron no encontrarse en tratamiento psicológico o farmacológico por depresión u otro trastorno de salud mental. </w:t>
      </w:r>
    </w:p>
    <w:p w14:paraId="5E404B59" w14:textId="0BB76F3D" w:rsidR="00A72AD8" w:rsidRPr="00526A27" w:rsidRDefault="00A72AD8" w:rsidP="00526A27">
      <w:pPr>
        <w:spacing w:line="360" w:lineRule="auto"/>
        <w:jc w:val="both"/>
        <w:rPr>
          <w:rFonts w:ascii="Times New Roman" w:hAnsi="Times New Roman" w:cs="Times New Roman"/>
          <w:sz w:val="24"/>
          <w:szCs w:val="24"/>
        </w:rPr>
      </w:pPr>
      <w:r w:rsidRPr="00526A27">
        <w:rPr>
          <w:rFonts w:ascii="Times New Roman" w:hAnsi="Times New Roman" w:cs="Times New Roman"/>
          <w:sz w:val="24"/>
          <w:szCs w:val="24"/>
        </w:rPr>
        <w:t>Estas muestras fueron combinadas para conformar dos nuevos grupos mixtos (que incluyeron personas con diagnóstico de depresión como aquellos sin patología diagnosticada). Esta decisión se tomó considerando que es una estrategia sugerida para realizar análisis factorial cuando las muestras son muy disímiles entre sí (</w:t>
      </w:r>
      <w:r w:rsidR="00E965D2">
        <w:rPr>
          <w:rFonts w:ascii="Times New Roman" w:hAnsi="Times New Roman" w:cs="Times New Roman"/>
          <w:sz w:val="24"/>
          <w:szCs w:val="24"/>
        </w:rPr>
        <w:t xml:space="preserve">Floyd y </w:t>
      </w:r>
      <w:proofErr w:type="spellStart"/>
      <w:r w:rsidR="00E965D2">
        <w:rPr>
          <w:rFonts w:ascii="Times New Roman" w:hAnsi="Times New Roman" w:cs="Times New Roman"/>
          <w:sz w:val="24"/>
          <w:szCs w:val="24"/>
        </w:rPr>
        <w:t>Widaman</w:t>
      </w:r>
      <w:proofErr w:type="spellEnd"/>
      <w:r w:rsidR="00E965D2">
        <w:rPr>
          <w:rFonts w:ascii="Times New Roman" w:hAnsi="Times New Roman" w:cs="Times New Roman"/>
          <w:sz w:val="24"/>
          <w:szCs w:val="24"/>
        </w:rPr>
        <w:t>, 1995</w:t>
      </w:r>
      <w:r w:rsidRPr="00526A27">
        <w:rPr>
          <w:rFonts w:ascii="Times New Roman" w:hAnsi="Times New Roman" w:cs="Times New Roman"/>
          <w:sz w:val="24"/>
          <w:szCs w:val="24"/>
        </w:rPr>
        <w:t xml:space="preserve">). Los grupos (ver </w:t>
      </w:r>
      <w:r w:rsidRPr="00526A27">
        <w:rPr>
          <w:rFonts w:ascii="Times New Roman" w:hAnsi="Times New Roman" w:cs="Times New Roman"/>
          <w:sz w:val="24"/>
          <w:szCs w:val="24"/>
        </w:rPr>
        <w:lastRenderedPageBreak/>
        <w:t xml:space="preserve">Tabla </w:t>
      </w:r>
      <w:r w:rsidR="00A61758">
        <w:rPr>
          <w:rFonts w:ascii="Times New Roman" w:hAnsi="Times New Roman" w:cs="Times New Roman"/>
          <w:sz w:val="24"/>
          <w:szCs w:val="24"/>
        </w:rPr>
        <w:t>2.</w:t>
      </w:r>
      <w:r w:rsidRPr="00526A27">
        <w:rPr>
          <w:rFonts w:ascii="Times New Roman" w:hAnsi="Times New Roman" w:cs="Times New Roman"/>
          <w:sz w:val="24"/>
          <w:szCs w:val="24"/>
        </w:rPr>
        <w:t>1), pueden ser considerados homogéneos respecto a las variables género, edad y escolaridad (</w:t>
      </w:r>
      <w:proofErr w:type="spellStart"/>
      <w:r w:rsidRPr="00526A27">
        <w:rPr>
          <w:rFonts w:ascii="Times New Roman" w:hAnsi="Times New Roman" w:cs="Times New Roman"/>
          <w:i/>
          <w:sz w:val="24"/>
          <w:szCs w:val="24"/>
        </w:rPr>
        <w:t>p</w:t>
      </w:r>
      <w:r w:rsidRPr="00526A27">
        <w:rPr>
          <w:rFonts w:ascii="Times New Roman" w:hAnsi="Times New Roman" w:cs="Times New Roman"/>
          <w:i/>
          <w:sz w:val="24"/>
          <w:szCs w:val="24"/>
          <w:vertAlign w:val="subscript"/>
        </w:rPr>
        <w:t>s</w:t>
      </w:r>
      <w:proofErr w:type="spellEnd"/>
      <w:r w:rsidRPr="00526A27">
        <w:rPr>
          <w:rFonts w:ascii="Times New Roman" w:hAnsi="Times New Roman" w:cs="Times New Roman"/>
          <w:sz w:val="24"/>
          <w:szCs w:val="24"/>
        </w:rPr>
        <w:t>&gt; .05).</w:t>
      </w:r>
    </w:p>
    <w:p w14:paraId="21C96008" w14:textId="77777777" w:rsidR="00584042" w:rsidRDefault="00584042" w:rsidP="00526A27">
      <w:pPr>
        <w:spacing w:line="360" w:lineRule="auto"/>
        <w:jc w:val="both"/>
        <w:rPr>
          <w:rFonts w:ascii="Times New Roman" w:hAnsi="Times New Roman" w:cs="Times New Roman"/>
          <w:sz w:val="24"/>
          <w:szCs w:val="24"/>
        </w:rPr>
      </w:pPr>
    </w:p>
    <w:p w14:paraId="166EEC2E" w14:textId="5A03E1A8" w:rsidR="00584042" w:rsidRPr="00A13C03" w:rsidRDefault="00584042" w:rsidP="00A13C03">
      <w:pPr>
        <w:spacing w:line="360" w:lineRule="auto"/>
        <w:contextualSpacing/>
        <w:rPr>
          <w:rFonts w:ascii="Times New Roman" w:hAnsi="Times New Roman" w:cs="Times New Roman"/>
          <w:sz w:val="20"/>
          <w:szCs w:val="20"/>
        </w:rPr>
      </w:pPr>
      <w:r w:rsidRPr="00A13C03">
        <w:rPr>
          <w:rFonts w:ascii="Times New Roman" w:hAnsi="Times New Roman" w:cs="Times New Roman"/>
          <w:b/>
          <w:sz w:val="20"/>
          <w:szCs w:val="20"/>
        </w:rPr>
        <w:t xml:space="preserve">Tabla </w:t>
      </w:r>
      <w:r w:rsidR="00A13C03">
        <w:rPr>
          <w:rFonts w:ascii="Times New Roman" w:hAnsi="Times New Roman" w:cs="Times New Roman"/>
          <w:b/>
          <w:sz w:val="20"/>
          <w:szCs w:val="20"/>
        </w:rPr>
        <w:t>2.</w:t>
      </w:r>
      <w:r w:rsidRPr="00A13C03">
        <w:rPr>
          <w:rFonts w:ascii="Times New Roman" w:hAnsi="Times New Roman" w:cs="Times New Roman"/>
          <w:b/>
          <w:sz w:val="20"/>
          <w:szCs w:val="20"/>
        </w:rPr>
        <w:t>1</w:t>
      </w:r>
      <w:r w:rsidR="00A13C03" w:rsidRPr="00A13C03">
        <w:rPr>
          <w:rFonts w:ascii="Times New Roman" w:hAnsi="Times New Roman" w:cs="Times New Roman"/>
          <w:b/>
          <w:sz w:val="20"/>
          <w:szCs w:val="20"/>
        </w:rPr>
        <w:t>.</w:t>
      </w:r>
      <w:r w:rsidR="00A13C03">
        <w:rPr>
          <w:rFonts w:ascii="Times New Roman" w:hAnsi="Times New Roman" w:cs="Times New Roman"/>
          <w:sz w:val="20"/>
          <w:szCs w:val="20"/>
        </w:rPr>
        <w:t xml:space="preserve"> </w:t>
      </w:r>
      <w:r w:rsidRPr="00A13C03">
        <w:rPr>
          <w:rFonts w:ascii="Times New Roman" w:hAnsi="Times New Roman" w:cs="Times New Roman"/>
          <w:sz w:val="20"/>
          <w:szCs w:val="20"/>
        </w:rPr>
        <w:t>Descripción de las Muestras</w:t>
      </w:r>
    </w:p>
    <w:tbl>
      <w:tblPr>
        <w:tblStyle w:val="Tablaconcuadrcula"/>
        <w:tblW w:w="10401" w:type="dxa"/>
        <w:tblInd w:w="0" w:type="dxa"/>
        <w:tblLook w:val="04A0" w:firstRow="1" w:lastRow="0" w:firstColumn="1" w:lastColumn="0" w:noHBand="0" w:noVBand="1"/>
      </w:tblPr>
      <w:tblGrid>
        <w:gridCol w:w="1951"/>
        <w:gridCol w:w="142"/>
        <w:gridCol w:w="2835"/>
        <w:gridCol w:w="574"/>
        <w:gridCol w:w="1977"/>
        <w:gridCol w:w="576"/>
        <w:gridCol w:w="1770"/>
        <w:gridCol w:w="576"/>
      </w:tblGrid>
      <w:tr w:rsidR="00584042" w14:paraId="275A31C0" w14:textId="77777777" w:rsidTr="00A13C03">
        <w:tc>
          <w:tcPr>
            <w:tcW w:w="2093" w:type="dxa"/>
            <w:gridSpan w:val="2"/>
            <w:tcBorders>
              <w:top w:val="single" w:sz="4" w:space="0" w:color="auto"/>
              <w:left w:val="nil"/>
              <w:bottom w:val="single" w:sz="4" w:space="0" w:color="auto"/>
              <w:right w:val="nil"/>
            </w:tcBorders>
          </w:tcPr>
          <w:p w14:paraId="38675DB4" w14:textId="77777777" w:rsidR="00584042" w:rsidRPr="00584042" w:rsidRDefault="00584042">
            <w:pPr>
              <w:spacing w:line="360" w:lineRule="auto"/>
              <w:rPr>
                <w:rFonts w:ascii="Times New Roman" w:hAnsi="Times New Roman" w:cs="Times New Roman"/>
                <w:sz w:val="24"/>
                <w:szCs w:val="24"/>
              </w:rPr>
            </w:pPr>
          </w:p>
        </w:tc>
        <w:tc>
          <w:tcPr>
            <w:tcW w:w="3409" w:type="dxa"/>
            <w:gridSpan w:val="2"/>
            <w:tcBorders>
              <w:top w:val="single" w:sz="4" w:space="0" w:color="auto"/>
              <w:left w:val="nil"/>
              <w:bottom w:val="single" w:sz="4" w:space="0" w:color="auto"/>
              <w:right w:val="nil"/>
            </w:tcBorders>
          </w:tcPr>
          <w:p w14:paraId="708296AF" w14:textId="77777777" w:rsidR="00584042" w:rsidRPr="00584042" w:rsidRDefault="00584042" w:rsidP="00A13C03">
            <w:pPr>
              <w:spacing w:line="360" w:lineRule="auto"/>
              <w:ind w:left="-110"/>
              <w:rPr>
                <w:rFonts w:ascii="Times New Roman" w:hAnsi="Times New Roman" w:cs="Times New Roman"/>
                <w:sz w:val="24"/>
                <w:szCs w:val="24"/>
              </w:rPr>
            </w:pPr>
          </w:p>
        </w:tc>
        <w:tc>
          <w:tcPr>
            <w:tcW w:w="2553" w:type="dxa"/>
            <w:gridSpan w:val="2"/>
            <w:tcBorders>
              <w:top w:val="single" w:sz="4" w:space="0" w:color="auto"/>
              <w:left w:val="nil"/>
              <w:bottom w:val="single" w:sz="4" w:space="0" w:color="auto"/>
              <w:right w:val="nil"/>
            </w:tcBorders>
            <w:hideMark/>
          </w:tcPr>
          <w:p w14:paraId="5CDB9EAD" w14:textId="77777777" w:rsidR="00584042" w:rsidRPr="00584042" w:rsidRDefault="00584042">
            <w:pPr>
              <w:spacing w:line="360" w:lineRule="auto"/>
              <w:jc w:val="center"/>
              <w:rPr>
                <w:rFonts w:ascii="Times New Roman" w:hAnsi="Times New Roman" w:cs="Times New Roman"/>
                <w:sz w:val="24"/>
                <w:szCs w:val="24"/>
              </w:rPr>
            </w:pPr>
            <w:r w:rsidRPr="00584042">
              <w:rPr>
                <w:rFonts w:ascii="Times New Roman" w:hAnsi="Times New Roman" w:cs="Times New Roman"/>
                <w:sz w:val="24"/>
                <w:szCs w:val="24"/>
              </w:rPr>
              <w:t>Muestra Mixta 1</w:t>
            </w:r>
          </w:p>
        </w:tc>
        <w:tc>
          <w:tcPr>
            <w:tcW w:w="2346" w:type="dxa"/>
            <w:gridSpan w:val="2"/>
            <w:tcBorders>
              <w:top w:val="single" w:sz="4" w:space="0" w:color="auto"/>
              <w:left w:val="nil"/>
              <w:bottom w:val="single" w:sz="4" w:space="0" w:color="auto"/>
              <w:right w:val="nil"/>
            </w:tcBorders>
            <w:hideMark/>
          </w:tcPr>
          <w:p w14:paraId="70632A49" w14:textId="77777777" w:rsidR="00584042" w:rsidRPr="00584042" w:rsidRDefault="00584042">
            <w:pPr>
              <w:spacing w:line="360" w:lineRule="auto"/>
              <w:jc w:val="center"/>
              <w:rPr>
                <w:rFonts w:ascii="Times New Roman" w:hAnsi="Times New Roman" w:cs="Times New Roman"/>
                <w:sz w:val="24"/>
                <w:szCs w:val="24"/>
              </w:rPr>
            </w:pPr>
            <w:r w:rsidRPr="00584042">
              <w:rPr>
                <w:rFonts w:ascii="Times New Roman" w:hAnsi="Times New Roman" w:cs="Times New Roman"/>
                <w:sz w:val="24"/>
                <w:szCs w:val="24"/>
              </w:rPr>
              <w:t>Muestra Mixta 2</w:t>
            </w:r>
          </w:p>
        </w:tc>
      </w:tr>
      <w:tr w:rsidR="00584042" w14:paraId="5BEB0F3A" w14:textId="77777777" w:rsidTr="00A13C03">
        <w:tc>
          <w:tcPr>
            <w:tcW w:w="2093" w:type="dxa"/>
            <w:gridSpan w:val="2"/>
            <w:tcBorders>
              <w:top w:val="single" w:sz="4" w:space="0" w:color="auto"/>
              <w:left w:val="nil"/>
              <w:bottom w:val="nil"/>
              <w:right w:val="nil"/>
            </w:tcBorders>
            <w:hideMark/>
          </w:tcPr>
          <w:p w14:paraId="4A3356B6" w14:textId="77777777" w:rsidR="00584042" w:rsidRPr="00584042" w:rsidRDefault="00584042">
            <w:pPr>
              <w:spacing w:line="360" w:lineRule="auto"/>
              <w:rPr>
                <w:rFonts w:ascii="Times New Roman" w:hAnsi="Times New Roman" w:cs="Times New Roman"/>
                <w:sz w:val="24"/>
                <w:szCs w:val="24"/>
              </w:rPr>
            </w:pPr>
            <w:r w:rsidRPr="00584042">
              <w:rPr>
                <w:rFonts w:ascii="Times New Roman" w:hAnsi="Times New Roman" w:cs="Times New Roman"/>
                <w:sz w:val="24"/>
                <w:szCs w:val="24"/>
              </w:rPr>
              <w:t>Edad (años)</w:t>
            </w:r>
          </w:p>
        </w:tc>
        <w:tc>
          <w:tcPr>
            <w:tcW w:w="3409" w:type="dxa"/>
            <w:gridSpan w:val="2"/>
            <w:tcBorders>
              <w:top w:val="single" w:sz="4" w:space="0" w:color="auto"/>
              <w:left w:val="nil"/>
              <w:bottom w:val="nil"/>
              <w:right w:val="nil"/>
            </w:tcBorders>
          </w:tcPr>
          <w:p w14:paraId="2E92544B" w14:textId="77777777" w:rsidR="00584042" w:rsidRPr="00584042" w:rsidRDefault="00584042">
            <w:pPr>
              <w:spacing w:line="360" w:lineRule="auto"/>
              <w:rPr>
                <w:rFonts w:ascii="Times New Roman" w:hAnsi="Times New Roman" w:cs="Times New Roman"/>
                <w:sz w:val="24"/>
                <w:szCs w:val="24"/>
              </w:rPr>
            </w:pPr>
          </w:p>
        </w:tc>
        <w:tc>
          <w:tcPr>
            <w:tcW w:w="2553" w:type="dxa"/>
            <w:gridSpan w:val="2"/>
            <w:tcBorders>
              <w:top w:val="single" w:sz="4" w:space="0" w:color="auto"/>
              <w:left w:val="nil"/>
              <w:bottom w:val="nil"/>
              <w:right w:val="nil"/>
            </w:tcBorders>
            <w:hideMark/>
          </w:tcPr>
          <w:p w14:paraId="3EB8825C" w14:textId="77777777" w:rsidR="00584042" w:rsidRPr="00584042" w:rsidRDefault="00584042">
            <w:pPr>
              <w:spacing w:line="360" w:lineRule="auto"/>
              <w:jc w:val="center"/>
              <w:rPr>
                <w:rFonts w:ascii="Times New Roman" w:hAnsi="Times New Roman" w:cs="Times New Roman"/>
                <w:sz w:val="24"/>
                <w:szCs w:val="24"/>
              </w:rPr>
            </w:pPr>
            <w:r w:rsidRPr="00584042">
              <w:rPr>
                <w:rFonts w:ascii="Times New Roman" w:hAnsi="Times New Roman" w:cs="Times New Roman"/>
                <w:sz w:val="24"/>
                <w:szCs w:val="24"/>
              </w:rPr>
              <w:t>42,17 ± 9,48</w:t>
            </w:r>
          </w:p>
        </w:tc>
        <w:tc>
          <w:tcPr>
            <w:tcW w:w="2346" w:type="dxa"/>
            <w:gridSpan w:val="2"/>
            <w:tcBorders>
              <w:top w:val="single" w:sz="4" w:space="0" w:color="auto"/>
              <w:left w:val="nil"/>
              <w:bottom w:val="nil"/>
              <w:right w:val="nil"/>
            </w:tcBorders>
            <w:hideMark/>
          </w:tcPr>
          <w:p w14:paraId="476DD757" w14:textId="77777777" w:rsidR="00584042" w:rsidRPr="00584042" w:rsidRDefault="00584042">
            <w:pPr>
              <w:spacing w:line="360" w:lineRule="auto"/>
              <w:jc w:val="center"/>
              <w:rPr>
                <w:rFonts w:ascii="Times New Roman" w:hAnsi="Times New Roman" w:cs="Times New Roman"/>
                <w:sz w:val="24"/>
                <w:szCs w:val="24"/>
              </w:rPr>
            </w:pPr>
            <w:r w:rsidRPr="00584042">
              <w:rPr>
                <w:rFonts w:ascii="Times New Roman" w:hAnsi="Times New Roman" w:cs="Times New Roman"/>
                <w:sz w:val="24"/>
                <w:szCs w:val="24"/>
              </w:rPr>
              <w:t>41,31 ± 9,28</w:t>
            </w:r>
          </w:p>
        </w:tc>
      </w:tr>
      <w:tr w:rsidR="00584042" w14:paraId="45BBC796" w14:textId="77777777" w:rsidTr="00A13C03">
        <w:tc>
          <w:tcPr>
            <w:tcW w:w="2093" w:type="dxa"/>
            <w:gridSpan w:val="2"/>
            <w:tcBorders>
              <w:top w:val="nil"/>
              <w:left w:val="nil"/>
              <w:bottom w:val="nil"/>
              <w:right w:val="nil"/>
            </w:tcBorders>
            <w:hideMark/>
          </w:tcPr>
          <w:p w14:paraId="63B4101D" w14:textId="77777777" w:rsidR="00584042" w:rsidRPr="00584042" w:rsidRDefault="00584042">
            <w:pPr>
              <w:spacing w:line="360" w:lineRule="auto"/>
              <w:rPr>
                <w:rFonts w:ascii="Times New Roman" w:hAnsi="Times New Roman" w:cs="Times New Roman"/>
                <w:sz w:val="24"/>
                <w:szCs w:val="24"/>
              </w:rPr>
            </w:pPr>
            <w:r w:rsidRPr="00584042">
              <w:rPr>
                <w:rFonts w:ascii="Times New Roman" w:hAnsi="Times New Roman" w:cs="Times New Roman"/>
                <w:sz w:val="24"/>
                <w:szCs w:val="24"/>
              </w:rPr>
              <w:t>Sexo femenino (</w:t>
            </w:r>
            <w:r w:rsidRPr="00584042">
              <w:rPr>
                <w:rFonts w:ascii="Times New Roman" w:hAnsi="Times New Roman" w:cs="Times New Roman"/>
                <w:i/>
                <w:sz w:val="24"/>
                <w:szCs w:val="24"/>
              </w:rPr>
              <w:t>%</w:t>
            </w:r>
            <w:r w:rsidRPr="00584042">
              <w:rPr>
                <w:rFonts w:ascii="Times New Roman" w:hAnsi="Times New Roman" w:cs="Times New Roman"/>
                <w:sz w:val="24"/>
                <w:szCs w:val="24"/>
              </w:rPr>
              <w:t>)</w:t>
            </w:r>
          </w:p>
        </w:tc>
        <w:tc>
          <w:tcPr>
            <w:tcW w:w="3409" w:type="dxa"/>
            <w:gridSpan w:val="2"/>
            <w:tcBorders>
              <w:top w:val="nil"/>
              <w:left w:val="nil"/>
              <w:bottom w:val="nil"/>
              <w:right w:val="nil"/>
            </w:tcBorders>
          </w:tcPr>
          <w:p w14:paraId="0DDB25E5" w14:textId="77777777" w:rsidR="00584042" w:rsidRPr="00584042" w:rsidRDefault="00584042">
            <w:pPr>
              <w:spacing w:line="360" w:lineRule="auto"/>
              <w:rPr>
                <w:rFonts w:ascii="Times New Roman" w:hAnsi="Times New Roman" w:cs="Times New Roman"/>
                <w:sz w:val="24"/>
                <w:szCs w:val="24"/>
              </w:rPr>
            </w:pPr>
          </w:p>
        </w:tc>
        <w:tc>
          <w:tcPr>
            <w:tcW w:w="2553" w:type="dxa"/>
            <w:gridSpan w:val="2"/>
            <w:tcBorders>
              <w:top w:val="nil"/>
              <w:left w:val="nil"/>
              <w:bottom w:val="nil"/>
              <w:right w:val="nil"/>
            </w:tcBorders>
            <w:hideMark/>
          </w:tcPr>
          <w:p w14:paraId="2B49713F" w14:textId="77777777" w:rsidR="00584042" w:rsidRPr="00584042" w:rsidRDefault="00584042">
            <w:pPr>
              <w:spacing w:line="360" w:lineRule="auto"/>
              <w:jc w:val="center"/>
              <w:rPr>
                <w:rFonts w:ascii="Times New Roman" w:hAnsi="Times New Roman" w:cs="Times New Roman"/>
                <w:sz w:val="24"/>
                <w:szCs w:val="24"/>
              </w:rPr>
            </w:pPr>
            <w:r w:rsidRPr="00584042">
              <w:rPr>
                <w:rFonts w:ascii="Times New Roman" w:hAnsi="Times New Roman" w:cs="Times New Roman"/>
                <w:sz w:val="24"/>
                <w:szCs w:val="24"/>
              </w:rPr>
              <w:t>93,7%</w:t>
            </w:r>
          </w:p>
        </w:tc>
        <w:tc>
          <w:tcPr>
            <w:tcW w:w="2346" w:type="dxa"/>
            <w:gridSpan w:val="2"/>
            <w:tcBorders>
              <w:top w:val="nil"/>
              <w:left w:val="nil"/>
              <w:bottom w:val="nil"/>
              <w:right w:val="nil"/>
            </w:tcBorders>
            <w:hideMark/>
          </w:tcPr>
          <w:p w14:paraId="3B8A5A6C" w14:textId="77777777" w:rsidR="00584042" w:rsidRPr="00584042" w:rsidRDefault="00584042">
            <w:pPr>
              <w:spacing w:line="360" w:lineRule="auto"/>
              <w:jc w:val="center"/>
              <w:rPr>
                <w:rFonts w:ascii="Times New Roman" w:hAnsi="Times New Roman" w:cs="Times New Roman"/>
                <w:sz w:val="24"/>
                <w:szCs w:val="24"/>
              </w:rPr>
            </w:pPr>
            <w:r w:rsidRPr="00584042">
              <w:rPr>
                <w:rFonts w:ascii="Times New Roman" w:hAnsi="Times New Roman" w:cs="Times New Roman"/>
                <w:sz w:val="24"/>
                <w:szCs w:val="24"/>
              </w:rPr>
              <w:t>93,5%</w:t>
            </w:r>
          </w:p>
        </w:tc>
      </w:tr>
      <w:tr w:rsidR="00584042" w14:paraId="7E29BEF7" w14:textId="77777777" w:rsidTr="00A13C03">
        <w:tc>
          <w:tcPr>
            <w:tcW w:w="2093" w:type="dxa"/>
            <w:gridSpan w:val="2"/>
            <w:tcBorders>
              <w:top w:val="nil"/>
              <w:left w:val="nil"/>
              <w:bottom w:val="nil"/>
              <w:right w:val="nil"/>
            </w:tcBorders>
            <w:hideMark/>
          </w:tcPr>
          <w:p w14:paraId="4FE4A3FA" w14:textId="77777777" w:rsidR="00584042" w:rsidRPr="00584042" w:rsidRDefault="00584042">
            <w:pPr>
              <w:spacing w:line="360" w:lineRule="auto"/>
              <w:rPr>
                <w:rFonts w:ascii="Times New Roman" w:hAnsi="Times New Roman" w:cs="Times New Roman"/>
                <w:sz w:val="24"/>
                <w:szCs w:val="24"/>
              </w:rPr>
            </w:pPr>
            <w:r w:rsidRPr="00584042">
              <w:rPr>
                <w:rFonts w:ascii="Times New Roman" w:hAnsi="Times New Roman" w:cs="Times New Roman"/>
                <w:sz w:val="24"/>
                <w:szCs w:val="24"/>
              </w:rPr>
              <w:t>Escolaridad</w:t>
            </w:r>
          </w:p>
        </w:tc>
        <w:tc>
          <w:tcPr>
            <w:tcW w:w="3409" w:type="dxa"/>
            <w:gridSpan w:val="2"/>
            <w:tcBorders>
              <w:top w:val="nil"/>
              <w:left w:val="nil"/>
              <w:bottom w:val="nil"/>
              <w:right w:val="nil"/>
            </w:tcBorders>
          </w:tcPr>
          <w:p w14:paraId="11738989" w14:textId="77777777" w:rsidR="00584042" w:rsidRPr="00584042" w:rsidRDefault="00584042">
            <w:pPr>
              <w:spacing w:line="360" w:lineRule="auto"/>
              <w:rPr>
                <w:rFonts w:ascii="Times New Roman" w:hAnsi="Times New Roman" w:cs="Times New Roman"/>
                <w:sz w:val="24"/>
                <w:szCs w:val="24"/>
              </w:rPr>
            </w:pPr>
          </w:p>
        </w:tc>
        <w:tc>
          <w:tcPr>
            <w:tcW w:w="2553" w:type="dxa"/>
            <w:gridSpan w:val="2"/>
            <w:tcBorders>
              <w:top w:val="nil"/>
              <w:left w:val="nil"/>
              <w:bottom w:val="nil"/>
              <w:right w:val="nil"/>
            </w:tcBorders>
          </w:tcPr>
          <w:p w14:paraId="18700CD6" w14:textId="77777777" w:rsidR="00584042" w:rsidRPr="00584042" w:rsidRDefault="00584042">
            <w:pPr>
              <w:spacing w:line="360" w:lineRule="auto"/>
              <w:jc w:val="center"/>
              <w:rPr>
                <w:rFonts w:ascii="Times New Roman" w:hAnsi="Times New Roman" w:cs="Times New Roman"/>
                <w:sz w:val="24"/>
                <w:szCs w:val="24"/>
              </w:rPr>
            </w:pPr>
          </w:p>
        </w:tc>
        <w:tc>
          <w:tcPr>
            <w:tcW w:w="2346" w:type="dxa"/>
            <w:gridSpan w:val="2"/>
            <w:tcBorders>
              <w:top w:val="nil"/>
              <w:left w:val="nil"/>
              <w:bottom w:val="nil"/>
              <w:right w:val="nil"/>
            </w:tcBorders>
          </w:tcPr>
          <w:p w14:paraId="1DA92CD6" w14:textId="77777777" w:rsidR="00584042" w:rsidRPr="00584042" w:rsidRDefault="00584042">
            <w:pPr>
              <w:spacing w:line="360" w:lineRule="auto"/>
              <w:jc w:val="center"/>
              <w:rPr>
                <w:rFonts w:ascii="Times New Roman" w:hAnsi="Times New Roman" w:cs="Times New Roman"/>
                <w:sz w:val="24"/>
                <w:szCs w:val="24"/>
              </w:rPr>
            </w:pPr>
          </w:p>
        </w:tc>
      </w:tr>
      <w:tr w:rsidR="00A13C03" w14:paraId="63FD1EA7" w14:textId="77777777" w:rsidTr="00A13C03">
        <w:tc>
          <w:tcPr>
            <w:tcW w:w="2093" w:type="dxa"/>
            <w:gridSpan w:val="2"/>
            <w:tcBorders>
              <w:top w:val="nil"/>
              <w:left w:val="nil"/>
              <w:bottom w:val="nil"/>
              <w:right w:val="nil"/>
            </w:tcBorders>
          </w:tcPr>
          <w:p w14:paraId="229016E6" w14:textId="07088363" w:rsidR="00A13C03" w:rsidRPr="00584042" w:rsidRDefault="00A13C03" w:rsidP="00A13C03">
            <w:pPr>
              <w:spacing w:line="360" w:lineRule="auto"/>
              <w:rPr>
                <w:rFonts w:ascii="Times New Roman" w:hAnsi="Times New Roman" w:cs="Times New Roman"/>
                <w:sz w:val="24"/>
                <w:szCs w:val="24"/>
              </w:rPr>
            </w:pPr>
          </w:p>
        </w:tc>
        <w:tc>
          <w:tcPr>
            <w:tcW w:w="3409" w:type="dxa"/>
            <w:gridSpan w:val="2"/>
            <w:tcBorders>
              <w:top w:val="nil"/>
              <w:left w:val="nil"/>
              <w:bottom w:val="nil"/>
              <w:right w:val="nil"/>
            </w:tcBorders>
          </w:tcPr>
          <w:p w14:paraId="0CCB3120" w14:textId="4B4E26FE" w:rsidR="00A13C03" w:rsidRPr="00584042" w:rsidRDefault="00A13C03" w:rsidP="00A13C03">
            <w:pPr>
              <w:spacing w:line="360" w:lineRule="auto"/>
              <w:rPr>
                <w:rFonts w:ascii="Times New Roman" w:hAnsi="Times New Roman" w:cs="Times New Roman"/>
                <w:sz w:val="24"/>
                <w:szCs w:val="24"/>
              </w:rPr>
            </w:pPr>
            <w:r w:rsidRPr="00584042">
              <w:rPr>
                <w:rFonts w:ascii="Times New Roman" w:hAnsi="Times New Roman" w:cs="Times New Roman"/>
                <w:sz w:val="24"/>
                <w:szCs w:val="24"/>
              </w:rPr>
              <w:t>Básica Incompleta</w:t>
            </w:r>
          </w:p>
        </w:tc>
        <w:tc>
          <w:tcPr>
            <w:tcW w:w="2553" w:type="dxa"/>
            <w:gridSpan w:val="2"/>
            <w:tcBorders>
              <w:top w:val="nil"/>
              <w:left w:val="nil"/>
              <w:bottom w:val="nil"/>
              <w:right w:val="nil"/>
            </w:tcBorders>
            <w:hideMark/>
          </w:tcPr>
          <w:p w14:paraId="6A285B9C" w14:textId="77777777" w:rsidR="00A13C03" w:rsidRPr="00584042" w:rsidRDefault="00A13C03" w:rsidP="00A13C03">
            <w:pPr>
              <w:spacing w:line="360" w:lineRule="auto"/>
              <w:jc w:val="center"/>
              <w:rPr>
                <w:rFonts w:ascii="Times New Roman" w:hAnsi="Times New Roman" w:cs="Times New Roman"/>
                <w:sz w:val="24"/>
                <w:szCs w:val="24"/>
              </w:rPr>
            </w:pPr>
            <w:r w:rsidRPr="00584042">
              <w:rPr>
                <w:rFonts w:ascii="Times New Roman" w:hAnsi="Times New Roman" w:cs="Times New Roman"/>
                <w:sz w:val="24"/>
                <w:szCs w:val="24"/>
              </w:rPr>
              <w:t>0,8%</w:t>
            </w:r>
          </w:p>
        </w:tc>
        <w:tc>
          <w:tcPr>
            <w:tcW w:w="2346" w:type="dxa"/>
            <w:gridSpan w:val="2"/>
            <w:tcBorders>
              <w:top w:val="nil"/>
              <w:left w:val="nil"/>
              <w:bottom w:val="nil"/>
              <w:right w:val="nil"/>
            </w:tcBorders>
            <w:hideMark/>
          </w:tcPr>
          <w:p w14:paraId="294F5859" w14:textId="77777777" w:rsidR="00A13C03" w:rsidRPr="00584042" w:rsidRDefault="00A13C03" w:rsidP="00A13C03">
            <w:pPr>
              <w:spacing w:line="360" w:lineRule="auto"/>
              <w:jc w:val="center"/>
              <w:rPr>
                <w:rFonts w:ascii="Times New Roman" w:hAnsi="Times New Roman" w:cs="Times New Roman"/>
                <w:sz w:val="24"/>
                <w:szCs w:val="24"/>
              </w:rPr>
            </w:pPr>
            <w:r w:rsidRPr="00584042">
              <w:rPr>
                <w:rFonts w:ascii="Times New Roman" w:hAnsi="Times New Roman" w:cs="Times New Roman"/>
                <w:sz w:val="24"/>
                <w:szCs w:val="24"/>
              </w:rPr>
              <w:t>0,5%</w:t>
            </w:r>
          </w:p>
        </w:tc>
      </w:tr>
      <w:tr w:rsidR="00A13C03" w14:paraId="691F10D5" w14:textId="77777777" w:rsidTr="00A13C03">
        <w:tc>
          <w:tcPr>
            <w:tcW w:w="2093" w:type="dxa"/>
            <w:gridSpan w:val="2"/>
            <w:tcBorders>
              <w:top w:val="nil"/>
              <w:left w:val="nil"/>
              <w:bottom w:val="nil"/>
              <w:right w:val="nil"/>
            </w:tcBorders>
          </w:tcPr>
          <w:p w14:paraId="008DE216" w14:textId="6CA516D9" w:rsidR="00A13C03" w:rsidRPr="00584042" w:rsidRDefault="00A13C03" w:rsidP="00A13C03">
            <w:pPr>
              <w:spacing w:line="360" w:lineRule="auto"/>
              <w:rPr>
                <w:rFonts w:ascii="Times New Roman" w:hAnsi="Times New Roman" w:cs="Times New Roman"/>
                <w:sz w:val="24"/>
                <w:szCs w:val="24"/>
              </w:rPr>
            </w:pPr>
          </w:p>
        </w:tc>
        <w:tc>
          <w:tcPr>
            <w:tcW w:w="3409" w:type="dxa"/>
            <w:gridSpan w:val="2"/>
            <w:tcBorders>
              <w:top w:val="nil"/>
              <w:left w:val="nil"/>
              <w:bottom w:val="nil"/>
              <w:right w:val="nil"/>
            </w:tcBorders>
          </w:tcPr>
          <w:p w14:paraId="5E270B4E" w14:textId="103AC707" w:rsidR="00A13C03" w:rsidRPr="00584042" w:rsidRDefault="00A13C03" w:rsidP="00A13C03">
            <w:pPr>
              <w:spacing w:line="360" w:lineRule="auto"/>
              <w:rPr>
                <w:rFonts w:ascii="Times New Roman" w:hAnsi="Times New Roman" w:cs="Times New Roman"/>
                <w:sz w:val="24"/>
                <w:szCs w:val="24"/>
              </w:rPr>
            </w:pPr>
            <w:r w:rsidRPr="00584042">
              <w:rPr>
                <w:rFonts w:ascii="Times New Roman" w:hAnsi="Times New Roman" w:cs="Times New Roman"/>
                <w:sz w:val="24"/>
                <w:szCs w:val="24"/>
              </w:rPr>
              <w:t>Básica Completa</w:t>
            </w:r>
          </w:p>
        </w:tc>
        <w:tc>
          <w:tcPr>
            <w:tcW w:w="2553" w:type="dxa"/>
            <w:gridSpan w:val="2"/>
            <w:tcBorders>
              <w:top w:val="nil"/>
              <w:left w:val="nil"/>
              <w:bottom w:val="nil"/>
              <w:right w:val="nil"/>
            </w:tcBorders>
            <w:hideMark/>
          </w:tcPr>
          <w:p w14:paraId="1AE99AB6" w14:textId="77777777" w:rsidR="00A13C03" w:rsidRPr="00584042" w:rsidRDefault="00A13C03" w:rsidP="00A13C03">
            <w:pPr>
              <w:spacing w:line="360" w:lineRule="auto"/>
              <w:jc w:val="center"/>
              <w:rPr>
                <w:rFonts w:ascii="Times New Roman" w:hAnsi="Times New Roman" w:cs="Times New Roman"/>
                <w:sz w:val="24"/>
                <w:szCs w:val="24"/>
              </w:rPr>
            </w:pPr>
            <w:r w:rsidRPr="00584042">
              <w:rPr>
                <w:rFonts w:ascii="Times New Roman" w:hAnsi="Times New Roman" w:cs="Times New Roman"/>
                <w:sz w:val="24"/>
                <w:szCs w:val="24"/>
              </w:rPr>
              <w:t>2,2%</w:t>
            </w:r>
          </w:p>
        </w:tc>
        <w:tc>
          <w:tcPr>
            <w:tcW w:w="2346" w:type="dxa"/>
            <w:gridSpan w:val="2"/>
            <w:tcBorders>
              <w:top w:val="nil"/>
              <w:left w:val="nil"/>
              <w:bottom w:val="nil"/>
              <w:right w:val="nil"/>
            </w:tcBorders>
            <w:hideMark/>
          </w:tcPr>
          <w:p w14:paraId="0EE10239" w14:textId="77777777" w:rsidR="00A13C03" w:rsidRPr="00584042" w:rsidRDefault="00A13C03" w:rsidP="00A13C03">
            <w:pPr>
              <w:spacing w:line="360" w:lineRule="auto"/>
              <w:jc w:val="center"/>
              <w:rPr>
                <w:rFonts w:ascii="Times New Roman" w:hAnsi="Times New Roman" w:cs="Times New Roman"/>
                <w:sz w:val="24"/>
                <w:szCs w:val="24"/>
              </w:rPr>
            </w:pPr>
            <w:r w:rsidRPr="00584042">
              <w:rPr>
                <w:rFonts w:ascii="Times New Roman" w:hAnsi="Times New Roman" w:cs="Times New Roman"/>
                <w:sz w:val="24"/>
                <w:szCs w:val="24"/>
              </w:rPr>
              <w:t>2,5%</w:t>
            </w:r>
          </w:p>
        </w:tc>
      </w:tr>
      <w:tr w:rsidR="00A13C03" w14:paraId="17A838BD" w14:textId="77777777" w:rsidTr="00A13C03">
        <w:tc>
          <w:tcPr>
            <w:tcW w:w="2093" w:type="dxa"/>
            <w:gridSpan w:val="2"/>
            <w:tcBorders>
              <w:top w:val="nil"/>
              <w:left w:val="nil"/>
              <w:bottom w:val="nil"/>
              <w:right w:val="nil"/>
            </w:tcBorders>
          </w:tcPr>
          <w:p w14:paraId="67D5AA32" w14:textId="146A7148" w:rsidR="00A13C03" w:rsidRPr="00584042" w:rsidRDefault="00A13C03" w:rsidP="00A13C03">
            <w:pPr>
              <w:spacing w:line="360" w:lineRule="auto"/>
              <w:rPr>
                <w:rFonts w:ascii="Times New Roman" w:hAnsi="Times New Roman" w:cs="Times New Roman"/>
                <w:sz w:val="24"/>
                <w:szCs w:val="24"/>
              </w:rPr>
            </w:pPr>
          </w:p>
        </w:tc>
        <w:tc>
          <w:tcPr>
            <w:tcW w:w="3409" w:type="dxa"/>
            <w:gridSpan w:val="2"/>
            <w:tcBorders>
              <w:top w:val="nil"/>
              <w:left w:val="nil"/>
              <w:bottom w:val="nil"/>
              <w:right w:val="nil"/>
            </w:tcBorders>
          </w:tcPr>
          <w:p w14:paraId="0AEF32CF" w14:textId="39F20879" w:rsidR="00A13C03" w:rsidRPr="00584042" w:rsidRDefault="00A13C03" w:rsidP="00A13C03">
            <w:pPr>
              <w:spacing w:line="360" w:lineRule="auto"/>
              <w:rPr>
                <w:rFonts w:ascii="Times New Roman" w:hAnsi="Times New Roman" w:cs="Times New Roman"/>
                <w:sz w:val="24"/>
                <w:szCs w:val="24"/>
              </w:rPr>
            </w:pPr>
            <w:r w:rsidRPr="00584042">
              <w:rPr>
                <w:rFonts w:ascii="Times New Roman" w:hAnsi="Times New Roman" w:cs="Times New Roman"/>
                <w:sz w:val="24"/>
                <w:szCs w:val="24"/>
              </w:rPr>
              <w:t>Media Incompleta</w:t>
            </w:r>
          </w:p>
        </w:tc>
        <w:tc>
          <w:tcPr>
            <w:tcW w:w="2553" w:type="dxa"/>
            <w:gridSpan w:val="2"/>
            <w:tcBorders>
              <w:top w:val="nil"/>
              <w:left w:val="nil"/>
              <w:bottom w:val="nil"/>
              <w:right w:val="nil"/>
            </w:tcBorders>
            <w:hideMark/>
          </w:tcPr>
          <w:p w14:paraId="157CDF3B" w14:textId="77777777" w:rsidR="00A13C03" w:rsidRPr="00584042" w:rsidRDefault="00A13C03" w:rsidP="00A13C03">
            <w:pPr>
              <w:spacing w:line="360" w:lineRule="auto"/>
              <w:jc w:val="center"/>
              <w:rPr>
                <w:rFonts w:ascii="Times New Roman" w:hAnsi="Times New Roman" w:cs="Times New Roman"/>
                <w:sz w:val="24"/>
                <w:szCs w:val="24"/>
              </w:rPr>
            </w:pPr>
            <w:r w:rsidRPr="00584042">
              <w:rPr>
                <w:rFonts w:ascii="Times New Roman" w:hAnsi="Times New Roman" w:cs="Times New Roman"/>
                <w:sz w:val="24"/>
                <w:szCs w:val="24"/>
              </w:rPr>
              <w:t>5,8%</w:t>
            </w:r>
          </w:p>
        </w:tc>
        <w:tc>
          <w:tcPr>
            <w:tcW w:w="2346" w:type="dxa"/>
            <w:gridSpan w:val="2"/>
            <w:tcBorders>
              <w:top w:val="nil"/>
              <w:left w:val="nil"/>
              <w:bottom w:val="nil"/>
              <w:right w:val="nil"/>
            </w:tcBorders>
            <w:hideMark/>
          </w:tcPr>
          <w:p w14:paraId="728C9E77" w14:textId="77777777" w:rsidR="00A13C03" w:rsidRPr="00584042" w:rsidRDefault="00A13C03" w:rsidP="00A13C03">
            <w:pPr>
              <w:spacing w:line="360" w:lineRule="auto"/>
              <w:jc w:val="center"/>
              <w:rPr>
                <w:rFonts w:ascii="Times New Roman" w:hAnsi="Times New Roman" w:cs="Times New Roman"/>
                <w:sz w:val="24"/>
                <w:szCs w:val="24"/>
              </w:rPr>
            </w:pPr>
            <w:r w:rsidRPr="00584042">
              <w:rPr>
                <w:rFonts w:ascii="Times New Roman" w:hAnsi="Times New Roman" w:cs="Times New Roman"/>
                <w:sz w:val="24"/>
                <w:szCs w:val="24"/>
              </w:rPr>
              <w:t>6,5%</w:t>
            </w:r>
          </w:p>
        </w:tc>
      </w:tr>
      <w:tr w:rsidR="00A13C03" w14:paraId="3C71ED81" w14:textId="77777777" w:rsidTr="00A13C03">
        <w:tc>
          <w:tcPr>
            <w:tcW w:w="2093" w:type="dxa"/>
            <w:gridSpan w:val="2"/>
            <w:tcBorders>
              <w:top w:val="nil"/>
              <w:left w:val="nil"/>
              <w:bottom w:val="nil"/>
              <w:right w:val="nil"/>
            </w:tcBorders>
          </w:tcPr>
          <w:p w14:paraId="2B9567BA" w14:textId="528880BE" w:rsidR="00A13C03" w:rsidRPr="00584042" w:rsidRDefault="00A13C03" w:rsidP="00A13C03">
            <w:pPr>
              <w:spacing w:line="360" w:lineRule="auto"/>
              <w:rPr>
                <w:rFonts w:ascii="Times New Roman" w:hAnsi="Times New Roman" w:cs="Times New Roman"/>
                <w:sz w:val="24"/>
                <w:szCs w:val="24"/>
              </w:rPr>
            </w:pPr>
          </w:p>
        </w:tc>
        <w:tc>
          <w:tcPr>
            <w:tcW w:w="3409" w:type="dxa"/>
            <w:gridSpan w:val="2"/>
            <w:tcBorders>
              <w:top w:val="nil"/>
              <w:left w:val="nil"/>
              <w:bottom w:val="nil"/>
              <w:right w:val="nil"/>
            </w:tcBorders>
          </w:tcPr>
          <w:p w14:paraId="1DB925D6" w14:textId="153BD4E3" w:rsidR="00A13C03" w:rsidRPr="00584042" w:rsidRDefault="00A13C03" w:rsidP="00A13C03">
            <w:pPr>
              <w:spacing w:line="360" w:lineRule="auto"/>
              <w:rPr>
                <w:rFonts w:ascii="Times New Roman" w:hAnsi="Times New Roman" w:cs="Times New Roman"/>
                <w:sz w:val="24"/>
                <w:szCs w:val="24"/>
              </w:rPr>
            </w:pPr>
            <w:r w:rsidRPr="00584042">
              <w:rPr>
                <w:rFonts w:ascii="Times New Roman" w:hAnsi="Times New Roman" w:cs="Times New Roman"/>
                <w:sz w:val="24"/>
                <w:szCs w:val="24"/>
              </w:rPr>
              <w:t>Media Completa</w:t>
            </w:r>
          </w:p>
        </w:tc>
        <w:tc>
          <w:tcPr>
            <w:tcW w:w="2553" w:type="dxa"/>
            <w:gridSpan w:val="2"/>
            <w:tcBorders>
              <w:top w:val="nil"/>
              <w:left w:val="nil"/>
              <w:bottom w:val="nil"/>
              <w:right w:val="nil"/>
            </w:tcBorders>
            <w:hideMark/>
          </w:tcPr>
          <w:p w14:paraId="62ED3F5B" w14:textId="77777777" w:rsidR="00A13C03" w:rsidRPr="00584042" w:rsidRDefault="00A13C03" w:rsidP="00A13C03">
            <w:pPr>
              <w:spacing w:line="360" w:lineRule="auto"/>
              <w:jc w:val="center"/>
              <w:rPr>
                <w:rFonts w:ascii="Times New Roman" w:hAnsi="Times New Roman" w:cs="Times New Roman"/>
                <w:sz w:val="24"/>
                <w:szCs w:val="24"/>
              </w:rPr>
            </w:pPr>
            <w:r w:rsidRPr="00584042">
              <w:rPr>
                <w:rFonts w:ascii="Times New Roman" w:hAnsi="Times New Roman" w:cs="Times New Roman"/>
                <w:sz w:val="24"/>
                <w:szCs w:val="24"/>
              </w:rPr>
              <w:t>31,0%</w:t>
            </w:r>
          </w:p>
        </w:tc>
        <w:tc>
          <w:tcPr>
            <w:tcW w:w="2346" w:type="dxa"/>
            <w:gridSpan w:val="2"/>
            <w:tcBorders>
              <w:top w:val="nil"/>
              <w:left w:val="nil"/>
              <w:bottom w:val="nil"/>
              <w:right w:val="nil"/>
            </w:tcBorders>
            <w:hideMark/>
          </w:tcPr>
          <w:p w14:paraId="42A4843D" w14:textId="77777777" w:rsidR="00A13C03" w:rsidRPr="00584042" w:rsidRDefault="00A13C03" w:rsidP="00A13C03">
            <w:pPr>
              <w:spacing w:line="360" w:lineRule="auto"/>
              <w:jc w:val="center"/>
              <w:rPr>
                <w:rFonts w:ascii="Times New Roman" w:hAnsi="Times New Roman" w:cs="Times New Roman"/>
                <w:sz w:val="24"/>
                <w:szCs w:val="24"/>
              </w:rPr>
            </w:pPr>
            <w:r w:rsidRPr="00584042">
              <w:rPr>
                <w:rFonts w:ascii="Times New Roman" w:hAnsi="Times New Roman" w:cs="Times New Roman"/>
                <w:sz w:val="24"/>
                <w:szCs w:val="24"/>
              </w:rPr>
              <w:t>26,6%</w:t>
            </w:r>
          </w:p>
        </w:tc>
      </w:tr>
      <w:tr w:rsidR="00A13C03" w14:paraId="72DFBA82" w14:textId="77777777" w:rsidTr="00A13C03">
        <w:tc>
          <w:tcPr>
            <w:tcW w:w="2093" w:type="dxa"/>
            <w:gridSpan w:val="2"/>
            <w:tcBorders>
              <w:top w:val="nil"/>
              <w:left w:val="nil"/>
              <w:bottom w:val="nil"/>
              <w:right w:val="nil"/>
            </w:tcBorders>
          </w:tcPr>
          <w:p w14:paraId="79B1436E" w14:textId="59BFCB98" w:rsidR="00A13C03" w:rsidRPr="00584042" w:rsidRDefault="00A13C03" w:rsidP="00A13C03">
            <w:pPr>
              <w:spacing w:line="360" w:lineRule="auto"/>
              <w:rPr>
                <w:rFonts w:ascii="Times New Roman" w:hAnsi="Times New Roman" w:cs="Times New Roman"/>
                <w:sz w:val="24"/>
                <w:szCs w:val="24"/>
              </w:rPr>
            </w:pPr>
          </w:p>
        </w:tc>
        <w:tc>
          <w:tcPr>
            <w:tcW w:w="3409" w:type="dxa"/>
            <w:gridSpan w:val="2"/>
            <w:tcBorders>
              <w:top w:val="nil"/>
              <w:left w:val="nil"/>
              <w:bottom w:val="nil"/>
              <w:right w:val="nil"/>
            </w:tcBorders>
          </w:tcPr>
          <w:p w14:paraId="2074BD70" w14:textId="3362D485" w:rsidR="00A13C03" w:rsidRPr="00584042" w:rsidRDefault="00A13C03" w:rsidP="00A13C03">
            <w:pPr>
              <w:spacing w:line="360" w:lineRule="auto"/>
              <w:rPr>
                <w:rFonts w:ascii="Times New Roman" w:hAnsi="Times New Roman" w:cs="Times New Roman"/>
                <w:sz w:val="24"/>
                <w:szCs w:val="24"/>
              </w:rPr>
            </w:pPr>
            <w:r w:rsidRPr="00584042">
              <w:rPr>
                <w:rFonts w:ascii="Times New Roman" w:hAnsi="Times New Roman" w:cs="Times New Roman"/>
                <w:sz w:val="24"/>
                <w:szCs w:val="24"/>
              </w:rPr>
              <w:t>Técnico Incompleto</w:t>
            </w:r>
          </w:p>
        </w:tc>
        <w:tc>
          <w:tcPr>
            <w:tcW w:w="2553" w:type="dxa"/>
            <w:gridSpan w:val="2"/>
            <w:tcBorders>
              <w:top w:val="nil"/>
              <w:left w:val="nil"/>
              <w:bottom w:val="nil"/>
              <w:right w:val="nil"/>
            </w:tcBorders>
            <w:hideMark/>
          </w:tcPr>
          <w:p w14:paraId="39942983" w14:textId="77777777" w:rsidR="00A13C03" w:rsidRPr="00584042" w:rsidRDefault="00A13C03" w:rsidP="00A13C03">
            <w:pPr>
              <w:spacing w:line="360" w:lineRule="auto"/>
              <w:jc w:val="center"/>
              <w:rPr>
                <w:rFonts w:ascii="Times New Roman" w:hAnsi="Times New Roman" w:cs="Times New Roman"/>
                <w:sz w:val="24"/>
                <w:szCs w:val="24"/>
              </w:rPr>
            </w:pPr>
            <w:r w:rsidRPr="00584042">
              <w:rPr>
                <w:rFonts w:ascii="Times New Roman" w:hAnsi="Times New Roman" w:cs="Times New Roman"/>
                <w:sz w:val="24"/>
                <w:szCs w:val="24"/>
              </w:rPr>
              <w:t>8,1%</w:t>
            </w:r>
          </w:p>
        </w:tc>
        <w:tc>
          <w:tcPr>
            <w:tcW w:w="2346" w:type="dxa"/>
            <w:gridSpan w:val="2"/>
            <w:tcBorders>
              <w:top w:val="nil"/>
              <w:left w:val="nil"/>
              <w:bottom w:val="nil"/>
              <w:right w:val="nil"/>
            </w:tcBorders>
            <w:hideMark/>
          </w:tcPr>
          <w:p w14:paraId="0409466F" w14:textId="77777777" w:rsidR="00A13C03" w:rsidRPr="00584042" w:rsidRDefault="00A13C03" w:rsidP="00A13C03">
            <w:pPr>
              <w:spacing w:line="360" w:lineRule="auto"/>
              <w:jc w:val="center"/>
              <w:rPr>
                <w:rFonts w:ascii="Times New Roman" w:hAnsi="Times New Roman" w:cs="Times New Roman"/>
                <w:sz w:val="24"/>
                <w:szCs w:val="24"/>
              </w:rPr>
            </w:pPr>
            <w:r w:rsidRPr="00584042">
              <w:rPr>
                <w:rFonts w:ascii="Times New Roman" w:hAnsi="Times New Roman" w:cs="Times New Roman"/>
                <w:sz w:val="24"/>
                <w:szCs w:val="24"/>
              </w:rPr>
              <w:t>5,7%</w:t>
            </w:r>
          </w:p>
        </w:tc>
      </w:tr>
      <w:tr w:rsidR="00A13C03" w14:paraId="21B4FDCD" w14:textId="77777777" w:rsidTr="00A13C03">
        <w:tc>
          <w:tcPr>
            <w:tcW w:w="2093" w:type="dxa"/>
            <w:gridSpan w:val="2"/>
            <w:tcBorders>
              <w:top w:val="nil"/>
              <w:left w:val="nil"/>
              <w:bottom w:val="nil"/>
              <w:right w:val="nil"/>
            </w:tcBorders>
          </w:tcPr>
          <w:p w14:paraId="0C02F12F" w14:textId="2DF26681" w:rsidR="00A13C03" w:rsidRPr="00584042" w:rsidRDefault="00A13C03" w:rsidP="00A13C03">
            <w:pPr>
              <w:spacing w:line="360" w:lineRule="auto"/>
              <w:rPr>
                <w:rFonts w:ascii="Times New Roman" w:hAnsi="Times New Roman" w:cs="Times New Roman"/>
                <w:sz w:val="24"/>
                <w:szCs w:val="24"/>
              </w:rPr>
            </w:pPr>
          </w:p>
        </w:tc>
        <w:tc>
          <w:tcPr>
            <w:tcW w:w="3409" w:type="dxa"/>
            <w:gridSpan w:val="2"/>
            <w:tcBorders>
              <w:top w:val="nil"/>
              <w:left w:val="nil"/>
              <w:bottom w:val="nil"/>
              <w:right w:val="nil"/>
            </w:tcBorders>
          </w:tcPr>
          <w:p w14:paraId="67EB5789" w14:textId="717FB3CD" w:rsidR="00A13C03" w:rsidRPr="00584042" w:rsidRDefault="00A13C03" w:rsidP="00A13C03">
            <w:pPr>
              <w:spacing w:line="360" w:lineRule="auto"/>
              <w:rPr>
                <w:rFonts w:ascii="Times New Roman" w:hAnsi="Times New Roman" w:cs="Times New Roman"/>
                <w:sz w:val="24"/>
                <w:szCs w:val="24"/>
              </w:rPr>
            </w:pPr>
            <w:r w:rsidRPr="00584042">
              <w:rPr>
                <w:rFonts w:ascii="Times New Roman" w:hAnsi="Times New Roman" w:cs="Times New Roman"/>
                <w:sz w:val="24"/>
                <w:szCs w:val="24"/>
              </w:rPr>
              <w:t>Universitaria Incompleta o Técnica Completa</w:t>
            </w:r>
          </w:p>
        </w:tc>
        <w:tc>
          <w:tcPr>
            <w:tcW w:w="2553" w:type="dxa"/>
            <w:gridSpan w:val="2"/>
            <w:tcBorders>
              <w:top w:val="nil"/>
              <w:left w:val="nil"/>
              <w:bottom w:val="nil"/>
              <w:right w:val="nil"/>
            </w:tcBorders>
            <w:hideMark/>
          </w:tcPr>
          <w:p w14:paraId="4A8A1D34" w14:textId="77777777" w:rsidR="00A13C03" w:rsidRPr="00584042" w:rsidRDefault="00A13C03" w:rsidP="00A13C03">
            <w:pPr>
              <w:spacing w:line="360" w:lineRule="auto"/>
              <w:jc w:val="center"/>
              <w:rPr>
                <w:rFonts w:ascii="Times New Roman" w:hAnsi="Times New Roman" w:cs="Times New Roman"/>
                <w:sz w:val="24"/>
                <w:szCs w:val="24"/>
              </w:rPr>
            </w:pPr>
            <w:r w:rsidRPr="00584042">
              <w:rPr>
                <w:rFonts w:ascii="Times New Roman" w:hAnsi="Times New Roman" w:cs="Times New Roman"/>
                <w:sz w:val="24"/>
                <w:szCs w:val="24"/>
              </w:rPr>
              <w:t>28,2%</w:t>
            </w:r>
          </w:p>
        </w:tc>
        <w:tc>
          <w:tcPr>
            <w:tcW w:w="2346" w:type="dxa"/>
            <w:gridSpan w:val="2"/>
            <w:tcBorders>
              <w:top w:val="nil"/>
              <w:left w:val="nil"/>
              <w:bottom w:val="nil"/>
              <w:right w:val="nil"/>
            </w:tcBorders>
            <w:hideMark/>
          </w:tcPr>
          <w:p w14:paraId="2F8F2617" w14:textId="77777777" w:rsidR="00A13C03" w:rsidRPr="00584042" w:rsidRDefault="00A13C03" w:rsidP="00A13C03">
            <w:pPr>
              <w:spacing w:line="360" w:lineRule="auto"/>
              <w:jc w:val="center"/>
              <w:rPr>
                <w:rFonts w:ascii="Times New Roman" w:hAnsi="Times New Roman" w:cs="Times New Roman"/>
                <w:sz w:val="24"/>
                <w:szCs w:val="24"/>
              </w:rPr>
            </w:pPr>
            <w:r w:rsidRPr="00584042">
              <w:rPr>
                <w:rFonts w:ascii="Times New Roman" w:hAnsi="Times New Roman" w:cs="Times New Roman"/>
                <w:sz w:val="24"/>
                <w:szCs w:val="24"/>
              </w:rPr>
              <w:t>32,2%</w:t>
            </w:r>
          </w:p>
        </w:tc>
      </w:tr>
      <w:tr w:rsidR="00A13C03" w14:paraId="61D8DFC0" w14:textId="77777777" w:rsidTr="00A13C03">
        <w:tc>
          <w:tcPr>
            <w:tcW w:w="2093" w:type="dxa"/>
            <w:gridSpan w:val="2"/>
            <w:tcBorders>
              <w:top w:val="nil"/>
              <w:left w:val="nil"/>
              <w:bottom w:val="nil"/>
              <w:right w:val="nil"/>
            </w:tcBorders>
          </w:tcPr>
          <w:p w14:paraId="377952DA" w14:textId="47532600" w:rsidR="00A13C03" w:rsidRPr="00584042" w:rsidRDefault="00A13C03" w:rsidP="00A13C03">
            <w:pPr>
              <w:spacing w:line="360" w:lineRule="auto"/>
              <w:rPr>
                <w:rFonts w:ascii="Times New Roman" w:hAnsi="Times New Roman" w:cs="Times New Roman"/>
                <w:sz w:val="24"/>
                <w:szCs w:val="24"/>
              </w:rPr>
            </w:pPr>
          </w:p>
        </w:tc>
        <w:tc>
          <w:tcPr>
            <w:tcW w:w="3409" w:type="dxa"/>
            <w:gridSpan w:val="2"/>
            <w:tcBorders>
              <w:top w:val="nil"/>
              <w:left w:val="nil"/>
              <w:bottom w:val="nil"/>
              <w:right w:val="nil"/>
            </w:tcBorders>
          </w:tcPr>
          <w:p w14:paraId="446C4392" w14:textId="4B21B63C" w:rsidR="00A13C03" w:rsidRPr="00584042" w:rsidRDefault="00A13C03" w:rsidP="00A13C03">
            <w:pPr>
              <w:spacing w:line="360" w:lineRule="auto"/>
              <w:rPr>
                <w:rFonts w:ascii="Times New Roman" w:hAnsi="Times New Roman" w:cs="Times New Roman"/>
                <w:sz w:val="24"/>
                <w:szCs w:val="24"/>
              </w:rPr>
            </w:pPr>
            <w:r w:rsidRPr="00584042">
              <w:rPr>
                <w:rFonts w:ascii="Times New Roman" w:hAnsi="Times New Roman" w:cs="Times New Roman"/>
                <w:sz w:val="24"/>
                <w:szCs w:val="24"/>
              </w:rPr>
              <w:t>Universitaria Completa o Superior</w:t>
            </w:r>
          </w:p>
        </w:tc>
        <w:tc>
          <w:tcPr>
            <w:tcW w:w="2553" w:type="dxa"/>
            <w:gridSpan w:val="2"/>
            <w:tcBorders>
              <w:top w:val="nil"/>
              <w:left w:val="nil"/>
              <w:bottom w:val="nil"/>
              <w:right w:val="nil"/>
            </w:tcBorders>
            <w:hideMark/>
          </w:tcPr>
          <w:p w14:paraId="086911BB" w14:textId="77777777" w:rsidR="00A13C03" w:rsidRPr="00584042" w:rsidRDefault="00A13C03" w:rsidP="00A13C03">
            <w:pPr>
              <w:spacing w:line="360" w:lineRule="auto"/>
              <w:jc w:val="center"/>
              <w:rPr>
                <w:rFonts w:ascii="Times New Roman" w:hAnsi="Times New Roman" w:cs="Times New Roman"/>
                <w:sz w:val="24"/>
                <w:szCs w:val="24"/>
              </w:rPr>
            </w:pPr>
            <w:r w:rsidRPr="00584042">
              <w:rPr>
                <w:rFonts w:ascii="Times New Roman" w:hAnsi="Times New Roman" w:cs="Times New Roman"/>
                <w:sz w:val="24"/>
                <w:szCs w:val="24"/>
              </w:rPr>
              <w:t>23,9%</w:t>
            </w:r>
          </w:p>
        </w:tc>
        <w:tc>
          <w:tcPr>
            <w:tcW w:w="2346" w:type="dxa"/>
            <w:gridSpan w:val="2"/>
            <w:tcBorders>
              <w:top w:val="nil"/>
              <w:left w:val="nil"/>
              <w:bottom w:val="nil"/>
              <w:right w:val="nil"/>
            </w:tcBorders>
            <w:hideMark/>
          </w:tcPr>
          <w:p w14:paraId="41D9F6AB" w14:textId="77777777" w:rsidR="00A13C03" w:rsidRPr="00584042" w:rsidRDefault="00A13C03" w:rsidP="00A13C03">
            <w:pPr>
              <w:spacing w:line="360" w:lineRule="auto"/>
              <w:jc w:val="center"/>
              <w:rPr>
                <w:rFonts w:ascii="Times New Roman" w:hAnsi="Times New Roman" w:cs="Times New Roman"/>
                <w:sz w:val="24"/>
                <w:szCs w:val="24"/>
              </w:rPr>
            </w:pPr>
            <w:r w:rsidRPr="00584042">
              <w:rPr>
                <w:rFonts w:ascii="Times New Roman" w:hAnsi="Times New Roman" w:cs="Times New Roman"/>
                <w:sz w:val="24"/>
                <w:szCs w:val="24"/>
              </w:rPr>
              <w:t>26,0%</w:t>
            </w:r>
          </w:p>
        </w:tc>
      </w:tr>
      <w:tr w:rsidR="00A13C03" w14:paraId="5A73BA04" w14:textId="77777777" w:rsidTr="00A13C03">
        <w:tc>
          <w:tcPr>
            <w:tcW w:w="2093" w:type="dxa"/>
            <w:gridSpan w:val="2"/>
            <w:tcBorders>
              <w:top w:val="nil"/>
              <w:left w:val="nil"/>
              <w:bottom w:val="nil"/>
              <w:right w:val="nil"/>
            </w:tcBorders>
            <w:hideMark/>
          </w:tcPr>
          <w:p w14:paraId="580CBC97" w14:textId="77777777" w:rsidR="00A13C03" w:rsidRPr="00584042" w:rsidRDefault="00A13C03" w:rsidP="00A13C03">
            <w:pPr>
              <w:spacing w:line="360" w:lineRule="auto"/>
              <w:rPr>
                <w:rFonts w:ascii="Times New Roman" w:hAnsi="Times New Roman" w:cs="Times New Roman"/>
                <w:sz w:val="24"/>
                <w:szCs w:val="24"/>
              </w:rPr>
            </w:pPr>
            <w:r w:rsidRPr="00584042">
              <w:rPr>
                <w:rFonts w:ascii="Times New Roman" w:hAnsi="Times New Roman" w:cs="Times New Roman"/>
                <w:sz w:val="24"/>
                <w:szCs w:val="24"/>
              </w:rPr>
              <w:t>Conformación Muestra</w:t>
            </w:r>
          </w:p>
        </w:tc>
        <w:tc>
          <w:tcPr>
            <w:tcW w:w="3409" w:type="dxa"/>
            <w:gridSpan w:val="2"/>
            <w:tcBorders>
              <w:top w:val="nil"/>
              <w:left w:val="nil"/>
              <w:bottom w:val="nil"/>
              <w:right w:val="nil"/>
            </w:tcBorders>
          </w:tcPr>
          <w:p w14:paraId="7BABBFA6" w14:textId="77777777" w:rsidR="00A13C03" w:rsidRPr="00584042" w:rsidRDefault="00A13C03" w:rsidP="00A13C03">
            <w:pPr>
              <w:spacing w:line="360" w:lineRule="auto"/>
              <w:rPr>
                <w:rFonts w:ascii="Times New Roman" w:hAnsi="Times New Roman" w:cs="Times New Roman"/>
                <w:sz w:val="24"/>
                <w:szCs w:val="24"/>
              </w:rPr>
            </w:pPr>
          </w:p>
        </w:tc>
        <w:tc>
          <w:tcPr>
            <w:tcW w:w="2553" w:type="dxa"/>
            <w:gridSpan w:val="2"/>
            <w:tcBorders>
              <w:top w:val="nil"/>
              <w:left w:val="nil"/>
              <w:bottom w:val="nil"/>
              <w:right w:val="nil"/>
            </w:tcBorders>
          </w:tcPr>
          <w:p w14:paraId="06E4387F" w14:textId="77777777" w:rsidR="00A13C03" w:rsidRPr="00584042" w:rsidRDefault="00A13C03" w:rsidP="00A13C03">
            <w:pPr>
              <w:spacing w:line="360" w:lineRule="auto"/>
              <w:jc w:val="center"/>
              <w:rPr>
                <w:rFonts w:ascii="Times New Roman" w:hAnsi="Times New Roman" w:cs="Times New Roman"/>
                <w:sz w:val="24"/>
                <w:szCs w:val="24"/>
              </w:rPr>
            </w:pPr>
          </w:p>
        </w:tc>
        <w:tc>
          <w:tcPr>
            <w:tcW w:w="2346" w:type="dxa"/>
            <w:gridSpan w:val="2"/>
            <w:tcBorders>
              <w:top w:val="nil"/>
              <w:left w:val="nil"/>
              <w:bottom w:val="nil"/>
              <w:right w:val="nil"/>
            </w:tcBorders>
          </w:tcPr>
          <w:p w14:paraId="7C5816E8" w14:textId="77777777" w:rsidR="00A13C03" w:rsidRPr="00584042" w:rsidRDefault="00A13C03" w:rsidP="00A13C03">
            <w:pPr>
              <w:spacing w:line="360" w:lineRule="auto"/>
              <w:jc w:val="center"/>
              <w:rPr>
                <w:rFonts w:ascii="Times New Roman" w:hAnsi="Times New Roman" w:cs="Times New Roman"/>
                <w:sz w:val="24"/>
                <w:szCs w:val="24"/>
              </w:rPr>
            </w:pPr>
          </w:p>
        </w:tc>
      </w:tr>
      <w:tr w:rsidR="00A13C03" w14:paraId="61C0381C" w14:textId="77777777" w:rsidTr="00A13C03">
        <w:trPr>
          <w:gridAfter w:val="1"/>
          <w:wAfter w:w="576" w:type="dxa"/>
        </w:trPr>
        <w:tc>
          <w:tcPr>
            <w:tcW w:w="1951" w:type="dxa"/>
            <w:tcBorders>
              <w:top w:val="nil"/>
              <w:left w:val="nil"/>
              <w:bottom w:val="nil"/>
              <w:right w:val="nil"/>
            </w:tcBorders>
          </w:tcPr>
          <w:p w14:paraId="24B40F7C" w14:textId="01B51088" w:rsidR="00A13C03" w:rsidRPr="00584042" w:rsidRDefault="00A13C03" w:rsidP="00A13C03">
            <w:pPr>
              <w:spacing w:line="360" w:lineRule="auto"/>
              <w:rPr>
                <w:rFonts w:ascii="Times New Roman" w:hAnsi="Times New Roman" w:cs="Times New Roman"/>
                <w:sz w:val="24"/>
                <w:szCs w:val="24"/>
              </w:rPr>
            </w:pPr>
          </w:p>
        </w:tc>
        <w:tc>
          <w:tcPr>
            <w:tcW w:w="2977" w:type="dxa"/>
            <w:gridSpan w:val="2"/>
            <w:tcBorders>
              <w:top w:val="nil"/>
              <w:left w:val="nil"/>
              <w:bottom w:val="nil"/>
              <w:right w:val="nil"/>
            </w:tcBorders>
          </w:tcPr>
          <w:p w14:paraId="2AC2CE55" w14:textId="38AF221D" w:rsidR="00A13C03" w:rsidRPr="00584042" w:rsidRDefault="00A13C03" w:rsidP="00A13C03">
            <w:pPr>
              <w:spacing w:line="360" w:lineRule="auto"/>
              <w:rPr>
                <w:rFonts w:ascii="Times New Roman" w:hAnsi="Times New Roman" w:cs="Times New Roman"/>
                <w:sz w:val="24"/>
                <w:szCs w:val="24"/>
              </w:rPr>
            </w:pPr>
            <w:r w:rsidRPr="00584042">
              <w:rPr>
                <w:rFonts w:ascii="Times New Roman" w:hAnsi="Times New Roman" w:cs="Times New Roman"/>
                <w:sz w:val="24"/>
                <w:szCs w:val="24"/>
              </w:rPr>
              <w:t>Casos con depresión (</w:t>
            </w:r>
            <w:r w:rsidRPr="00584042">
              <w:rPr>
                <w:rFonts w:ascii="Times New Roman" w:hAnsi="Times New Roman" w:cs="Times New Roman"/>
                <w:i/>
                <w:sz w:val="24"/>
                <w:szCs w:val="24"/>
              </w:rPr>
              <w:t>n</w:t>
            </w:r>
            <w:r w:rsidRPr="00584042">
              <w:rPr>
                <w:rFonts w:ascii="Times New Roman" w:hAnsi="Times New Roman" w:cs="Times New Roman"/>
                <w:sz w:val="24"/>
                <w:szCs w:val="24"/>
              </w:rPr>
              <w:t xml:space="preserve">, </w:t>
            </w:r>
            <w:r w:rsidRPr="00584042">
              <w:rPr>
                <w:rFonts w:ascii="Times New Roman" w:hAnsi="Times New Roman" w:cs="Times New Roman"/>
                <w:i/>
                <w:sz w:val="24"/>
                <w:szCs w:val="24"/>
              </w:rPr>
              <w:t>%</w:t>
            </w:r>
            <w:r w:rsidRPr="00584042">
              <w:rPr>
                <w:rFonts w:ascii="Times New Roman" w:hAnsi="Times New Roman" w:cs="Times New Roman"/>
                <w:sz w:val="24"/>
                <w:szCs w:val="24"/>
              </w:rPr>
              <w:t>)</w:t>
            </w:r>
          </w:p>
        </w:tc>
        <w:tc>
          <w:tcPr>
            <w:tcW w:w="2551" w:type="dxa"/>
            <w:gridSpan w:val="2"/>
            <w:tcBorders>
              <w:top w:val="nil"/>
              <w:left w:val="nil"/>
              <w:bottom w:val="nil"/>
              <w:right w:val="nil"/>
            </w:tcBorders>
            <w:hideMark/>
          </w:tcPr>
          <w:p w14:paraId="0E7254E5" w14:textId="77777777" w:rsidR="00A13C03" w:rsidRPr="00584042" w:rsidRDefault="00A13C03" w:rsidP="00A13C03">
            <w:pPr>
              <w:spacing w:line="360" w:lineRule="auto"/>
              <w:jc w:val="center"/>
              <w:rPr>
                <w:rFonts w:ascii="Times New Roman" w:hAnsi="Times New Roman" w:cs="Times New Roman"/>
                <w:sz w:val="24"/>
                <w:szCs w:val="24"/>
              </w:rPr>
            </w:pPr>
            <w:r w:rsidRPr="00584042">
              <w:rPr>
                <w:rFonts w:ascii="Times New Roman" w:hAnsi="Times New Roman" w:cs="Times New Roman"/>
                <w:sz w:val="24"/>
                <w:szCs w:val="24"/>
              </w:rPr>
              <w:t>49 (9,2%)</w:t>
            </w:r>
          </w:p>
        </w:tc>
        <w:tc>
          <w:tcPr>
            <w:tcW w:w="2346" w:type="dxa"/>
            <w:gridSpan w:val="2"/>
            <w:tcBorders>
              <w:top w:val="nil"/>
              <w:left w:val="nil"/>
              <w:bottom w:val="nil"/>
              <w:right w:val="nil"/>
            </w:tcBorders>
            <w:hideMark/>
          </w:tcPr>
          <w:p w14:paraId="532F89A4" w14:textId="77777777" w:rsidR="00A13C03" w:rsidRPr="00584042" w:rsidRDefault="00A13C03" w:rsidP="00A13C03">
            <w:pPr>
              <w:spacing w:line="360" w:lineRule="auto"/>
              <w:jc w:val="center"/>
              <w:rPr>
                <w:rFonts w:ascii="Times New Roman" w:hAnsi="Times New Roman" w:cs="Times New Roman"/>
                <w:sz w:val="24"/>
                <w:szCs w:val="24"/>
              </w:rPr>
            </w:pPr>
            <w:r w:rsidRPr="00584042">
              <w:rPr>
                <w:rFonts w:ascii="Times New Roman" w:hAnsi="Times New Roman" w:cs="Times New Roman"/>
                <w:sz w:val="24"/>
                <w:szCs w:val="24"/>
              </w:rPr>
              <w:t>50 (8,8%)</w:t>
            </w:r>
          </w:p>
        </w:tc>
      </w:tr>
      <w:tr w:rsidR="00A13C03" w14:paraId="6F671306" w14:textId="77777777" w:rsidTr="00A13C03">
        <w:tc>
          <w:tcPr>
            <w:tcW w:w="2093" w:type="dxa"/>
            <w:gridSpan w:val="2"/>
            <w:tcBorders>
              <w:top w:val="nil"/>
              <w:left w:val="nil"/>
              <w:bottom w:val="nil"/>
              <w:right w:val="nil"/>
            </w:tcBorders>
          </w:tcPr>
          <w:p w14:paraId="26357AB7" w14:textId="1A47DB72" w:rsidR="00A13C03" w:rsidRPr="00584042" w:rsidRDefault="00A13C03" w:rsidP="00A13C03">
            <w:pPr>
              <w:spacing w:line="360" w:lineRule="auto"/>
              <w:rPr>
                <w:rFonts w:ascii="Times New Roman" w:hAnsi="Times New Roman" w:cs="Times New Roman"/>
                <w:sz w:val="24"/>
                <w:szCs w:val="24"/>
              </w:rPr>
            </w:pPr>
          </w:p>
        </w:tc>
        <w:tc>
          <w:tcPr>
            <w:tcW w:w="3409" w:type="dxa"/>
            <w:gridSpan w:val="2"/>
            <w:tcBorders>
              <w:top w:val="nil"/>
              <w:left w:val="nil"/>
              <w:bottom w:val="nil"/>
              <w:right w:val="nil"/>
            </w:tcBorders>
          </w:tcPr>
          <w:p w14:paraId="6CB19193" w14:textId="31BC92F8" w:rsidR="00A13C03" w:rsidRPr="00584042" w:rsidRDefault="00A13C03" w:rsidP="00A13C03">
            <w:pPr>
              <w:spacing w:line="360" w:lineRule="auto"/>
              <w:rPr>
                <w:rFonts w:ascii="Times New Roman" w:hAnsi="Times New Roman" w:cs="Times New Roman"/>
                <w:sz w:val="24"/>
                <w:szCs w:val="24"/>
              </w:rPr>
            </w:pPr>
            <w:r w:rsidRPr="00584042">
              <w:rPr>
                <w:rFonts w:ascii="Times New Roman" w:hAnsi="Times New Roman" w:cs="Times New Roman"/>
                <w:sz w:val="24"/>
                <w:szCs w:val="24"/>
              </w:rPr>
              <w:t>Estudiantes (</w:t>
            </w:r>
            <w:r w:rsidRPr="00584042">
              <w:rPr>
                <w:rFonts w:ascii="Times New Roman" w:hAnsi="Times New Roman" w:cs="Times New Roman"/>
                <w:i/>
                <w:sz w:val="24"/>
                <w:szCs w:val="24"/>
              </w:rPr>
              <w:t>n</w:t>
            </w:r>
            <w:r w:rsidRPr="00584042">
              <w:rPr>
                <w:rFonts w:ascii="Times New Roman" w:hAnsi="Times New Roman" w:cs="Times New Roman"/>
                <w:sz w:val="24"/>
                <w:szCs w:val="24"/>
              </w:rPr>
              <w:t xml:space="preserve">, </w:t>
            </w:r>
            <w:r w:rsidRPr="00584042">
              <w:rPr>
                <w:rFonts w:ascii="Times New Roman" w:hAnsi="Times New Roman" w:cs="Times New Roman"/>
                <w:i/>
                <w:sz w:val="24"/>
                <w:szCs w:val="24"/>
              </w:rPr>
              <w:t>%</w:t>
            </w:r>
            <w:r w:rsidRPr="00584042">
              <w:rPr>
                <w:rFonts w:ascii="Times New Roman" w:hAnsi="Times New Roman" w:cs="Times New Roman"/>
                <w:sz w:val="24"/>
                <w:szCs w:val="24"/>
              </w:rPr>
              <w:t xml:space="preserve">) </w:t>
            </w:r>
          </w:p>
        </w:tc>
        <w:tc>
          <w:tcPr>
            <w:tcW w:w="2553" w:type="dxa"/>
            <w:gridSpan w:val="2"/>
            <w:tcBorders>
              <w:top w:val="nil"/>
              <w:left w:val="nil"/>
              <w:bottom w:val="nil"/>
              <w:right w:val="nil"/>
            </w:tcBorders>
            <w:hideMark/>
          </w:tcPr>
          <w:p w14:paraId="732A9F19" w14:textId="77777777" w:rsidR="00A13C03" w:rsidRPr="00584042" w:rsidRDefault="00A13C03" w:rsidP="00A13C03">
            <w:pPr>
              <w:spacing w:line="360" w:lineRule="auto"/>
              <w:jc w:val="center"/>
              <w:rPr>
                <w:rFonts w:ascii="Times New Roman" w:hAnsi="Times New Roman" w:cs="Times New Roman"/>
                <w:sz w:val="24"/>
                <w:szCs w:val="24"/>
              </w:rPr>
            </w:pPr>
            <w:r w:rsidRPr="00584042">
              <w:rPr>
                <w:rFonts w:ascii="Times New Roman" w:hAnsi="Times New Roman" w:cs="Times New Roman"/>
                <w:sz w:val="24"/>
                <w:szCs w:val="24"/>
              </w:rPr>
              <w:t>36 (6,7%)</w:t>
            </w:r>
          </w:p>
        </w:tc>
        <w:tc>
          <w:tcPr>
            <w:tcW w:w="2346" w:type="dxa"/>
            <w:gridSpan w:val="2"/>
            <w:tcBorders>
              <w:top w:val="nil"/>
              <w:left w:val="nil"/>
              <w:bottom w:val="nil"/>
              <w:right w:val="nil"/>
            </w:tcBorders>
            <w:hideMark/>
          </w:tcPr>
          <w:p w14:paraId="45267519" w14:textId="77777777" w:rsidR="00A13C03" w:rsidRPr="00584042" w:rsidRDefault="00A13C03" w:rsidP="00A13C03">
            <w:pPr>
              <w:spacing w:line="360" w:lineRule="auto"/>
              <w:jc w:val="center"/>
              <w:rPr>
                <w:rFonts w:ascii="Times New Roman" w:hAnsi="Times New Roman" w:cs="Times New Roman"/>
                <w:sz w:val="24"/>
                <w:szCs w:val="24"/>
              </w:rPr>
            </w:pPr>
            <w:r w:rsidRPr="00584042">
              <w:rPr>
                <w:rFonts w:ascii="Times New Roman" w:hAnsi="Times New Roman" w:cs="Times New Roman"/>
                <w:sz w:val="24"/>
                <w:szCs w:val="24"/>
              </w:rPr>
              <w:t>38 (6,7%)</w:t>
            </w:r>
          </w:p>
        </w:tc>
      </w:tr>
      <w:tr w:rsidR="00A13C03" w14:paraId="4318D981" w14:textId="77777777" w:rsidTr="00A13C03">
        <w:tc>
          <w:tcPr>
            <w:tcW w:w="2093" w:type="dxa"/>
            <w:gridSpan w:val="2"/>
            <w:tcBorders>
              <w:top w:val="nil"/>
              <w:left w:val="nil"/>
              <w:bottom w:val="nil"/>
              <w:right w:val="nil"/>
            </w:tcBorders>
          </w:tcPr>
          <w:p w14:paraId="6051D04D" w14:textId="51BA5412" w:rsidR="00A13C03" w:rsidRPr="00584042" w:rsidRDefault="00A13C03" w:rsidP="00A13C03">
            <w:pPr>
              <w:spacing w:line="360" w:lineRule="auto"/>
              <w:rPr>
                <w:rFonts w:ascii="Times New Roman" w:hAnsi="Times New Roman" w:cs="Times New Roman"/>
                <w:sz w:val="24"/>
                <w:szCs w:val="24"/>
              </w:rPr>
            </w:pPr>
          </w:p>
        </w:tc>
        <w:tc>
          <w:tcPr>
            <w:tcW w:w="3409" w:type="dxa"/>
            <w:gridSpan w:val="2"/>
            <w:tcBorders>
              <w:top w:val="nil"/>
              <w:left w:val="nil"/>
              <w:bottom w:val="nil"/>
              <w:right w:val="nil"/>
            </w:tcBorders>
          </w:tcPr>
          <w:p w14:paraId="3DB11561" w14:textId="2A5F052B" w:rsidR="00A13C03" w:rsidRPr="00584042" w:rsidRDefault="00A13C03" w:rsidP="00A13C03">
            <w:pPr>
              <w:spacing w:line="360" w:lineRule="auto"/>
              <w:rPr>
                <w:rFonts w:ascii="Times New Roman" w:hAnsi="Times New Roman" w:cs="Times New Roman"/>
                <w:sz w:val="24"/>
                <w:szCs w:val="24"/>
              </w:rPr>
            </w:pPr>
            <w:r w:rsidRPr="00584042">
              <w:rPr>
                <w:rFonts w:ascii="Times New Roman" w:hAnsi="Times New Roman" w:cs="Times New Roman"/>
                <w:sz w:val="24"/>
                <w:szCs w:val="24"/>
              </w:rPr>
              <w:t>Apoderados (</w:t>
            </w:r>
            <w:r w:rsidRPr="00584042">
              <w:rPr>
                <w:rFonts w:ascii="Times New Roman" w:hAnsi="Times New Roman" w:cs="Times New Roman"/>
                <w:i/>
                <w:sz w:val="24"/>
                <w:szCs w:val="24"/>
              </w:rPr>
              <w:t>n</w:t>
            </w:r>
            <w:r w:rsidRPr="00584042">
              <w:rPr>
                <w:rFonts w:ascii="Times New Roman" w:hAnsi="Times New Roman" w:cs="Times New Roman"/>
                <w:sz w:val="24"/>
                <w:szCs w:val="24"/>
              </w:rPr>
              <w:t xml:space="preserve">, </w:t>
            </w:r>
            <w:r w:rsidRPr="00584042">
              <w:rPr>
                <w:rFonts w:ascii="Times New Roman" w:hAnsi="Times New Roman" w:cs="Times New Roman"/>
                <w:i/>
                <w:sz w:val="24"/>
                <w:szCs w:val="24"/>
              </w:rPr>
              <w:t>%</w:t>
            </w:r>
            <w:r w:rsidRPr="00584042">
              <w:rPr>
                <w:rFonts w:ascii="Times New Roman" w:hAnsi="Times New Roman" w:cs="Times New Roman"/>
                <w:sz w:val="24"/>
                <w:szCs w:val="24"/>
              </w:rPr>
              <w:t xml:space="preserve">) </w:t>
            </w:r>
          </w:p>
        </w:tc>
        <w:tc>
          <w:tcPr>
            <w:tcW w:w="2553" w:type="dxa"/>
            <w:gridSpan w:val="2"/>
            <w:tcBorders>
              <w:top w:val="nil"/>
              <w:left w:val="nil"/>
              <w:bottom w:val="nil"/>
              <w:right w:val="nil"/>
            </w:tcBorders>
            <w:hideMark/>
          </w:tcPr>
          <w:p w14:paraId="4D8E0A4C" w14:textId="77777777" w:rsidR="00A13C03" w:rsidRPr="00584042" w:rsidRDefault="00A13C03" w:rsidP="00A13C03">
            <w:pPr>
              <w:spacing w:line="360" w:lineRule="auto"/>
              <w:jc w:val="center"/>
              <w:rPr>
                <w:rFonts w:ascii="Times New Roman" w:hAnsi="Times New Roman" w:cs="Times New Roman"/>
                <w:sz w:val="24"/>
                <w:szCs w:val="24"/>
              </w:rPr>
            </w:pPr>
            <w:r w:rsidRPr="00584042">
              <w:rPr>
                <w:rFonts w:ascii="Times New Roman" w:hAnsi="Times New Roman" w:cs="Times New Roman"/>
                <w:sz w:val="24"/>
                <w:szCs w:val="24"/>
              </w:rPr>
              <w:t>451 (84,1%)</w:t>
            </w:r>
          </w:p>
        </w:tc>
        <w:tc>
          <w:tcPr>
            <w:tcW w:w="2346" w:type="dxa"/>
            <w:gridSpan w:val="2"/>
            <w:tcBorders>
              <w:top w:val="nil"/>
              <w:left w:val="nil"/>
              <w:bottom w:val="nil"/>
              <w:right w:val="nil"/>
            </w:tcBorders>
            <w:hideMark/>
          </w:tcPr>
          <w:p w14:paraId="5D2DDA34" w14:textId="77777777" w:rsidR="00A13C03" w:rsidRPr="00584042" w:rsidRDefault="00A13C03" w:rsidP="00A13C03">
            <w:pPr>
              <w:spacing w:line="360" w:lineRule="auto"/>
              <w:jc w:val="center"/>
              <w:rPr>
                <w:rFonts w:ascii="Times New Roman" w:hAnsi="Times New Roman" w:cs="Times New Roman"/>
                <w:sz w:val="24"/>
                <w:szCs w:val="24"/>
              </w:rPr>
            </w:pPr>
            <w:r w:rsidRPr="00584042">
              <w:rPr>
                <w:rFonts w:ascii="Times New Roman" w:hAnsi="Times New Roman" w:cs="Times New Roman"/>
                <w:sz w:val="24"/>
                <w:szCs w:val="24"/>
              </w:rPr>
              <w:t>481 (84,5%)</w:t>
            </w:r>
          </w:p>
        </w:tc>
      </w:tr>
      <w:tr w:rsidR="00A13C03" w14:paraId="1DEDBFAB" w14:textId="77777777" w:rsidTr="00A13C03">
        <w:tc>
          <w:tcPr>
            <w:tcW w:w="2093" w:type="dxa"/>
            <w:gridSpan w:val="2"/>
            <w:tcBorders>
              <w:top w:val="nil"/>
              <w:left w:val="nil"/>
              <w:bottom w:val="single" w:sz="4" w:space="0" w:color="auto"/>
              <w:right w:val="nil"/>
            </w:tcBorders>
          </w:tcPr>
          <w:p w14:paraId="2B5CF0D2" w14:textId="74381519" w:rsidR="00A13C03" w:rsidRPr="00584042" w:rsidRDefault="00A13C03" w:rsidP="00A13C03">
            <w:pPr>
              <w:spacing w:line="360" w:lineRule="auto"/>
              <w:rPr>
                <w:rFonts w:ascii="Times New Roman" w:hAnsi="Times New Roman" w:cs="Times New Roman"/>
                <w:sz w:val="24"/>
                <w:szCs w:val="24"/>
              </w:rPr>
            </w:pPr>
          </w:p>
        </w:tc>
        <w:tc>
          <w:tcPr>
            <w:tcW w:w="3409" w:type="dxa"/>
            <w:gridSpan w:val="2"/>
            <w:tcBorders>
              <w:top w:val="nil"/>
              <w:left w:val="nil"/>
              <w:bottom w:val="single" w:sz="4" w:space="0" w:color="auto"/>
              <w:right w:val="nil"/>
            </w:tcBorders>
          </w:tcPr>
          <w:p w14:paraId="278F82A8" w14:textId="1A560AA1" w:rsidR="00A13C03" w:rsidRPr="00584042" w:rsidRDefault="00A13C03" w:rsidP="00A13C03">
            <w:pPr>
              <w:spacing w:line="360" w:lineRule="auto"/>
              <w:rPr>
                <w:rFonts w:ascii="Times New Roman" w:hAnsi="Times New Roman" w:cs="Times New Roman"/>
                <w:sz w:val="24"/>
                <w:szCs w:val="24"/>
              </w:rPr>
            </w:pPr>
            <w:r w:rsidRPr="00584042">
              <w:rPr>
                <w:rFonts w:ascii="Times New Roman" w:hAnsi="Times New Roman" w:cs="Times New Roman"/>
                <w:i/>
                <w:sz w:val="24"/>
                <w:szCs w:val="24"/>
              </w:rPr>
              <w:t>N</w:t>
            </w:r>
          </w:p>
        </w:tc>
        <w:tc>
          <w:tcPr>
            <w:tcW w:w="2553" w:type="dxa"/>
            <w:gridSpan w:val="2"/>
            <w:tcBorders>
              <w:top w:val="nil"/>
              <w:left w:val="nil"/>
              <w:bottom w:val="single" w:sz="4" w:space="0" w:color="auto"/>
              <w:right w:val="nil"/>
            </w:tcBorders>
            <w:hideMark/>
          </w:tcPr>
          <w:p w14:paraId="47941CC1" w14:textId="77777777" w:rsidR="00A13C03" w:rsidRPr="00584042" w:rsidRDefault="00A13C03" w:rsidP="00A13C03">
            <w:pPr>
              <w:spacing w:line="360" w:lineRule="auto"/>
              <w:jc w:val="center"/>
              <w:rPr>
                <w:rFonts w:ascii="Times New Roman" w:hAnsi="Times New Roman" w:cs="Times New Roman"/>
                <w:sz w:val="24"/>
                <w:szCs w:val="24"/>
              </w:rPr>
            </w:pPr>
            <w:r w:rsidRPr="00584042">
              <w:rPr>
                <w:rFonts w:ascii="Times New Roman" w:hAnsi="Times New Roman" w:cs="Times New Roman"/>
                <w:sz w:val="24"/>
                <w:szCs w:val="24"/>
              </w:rPr>
              <w:t>536</w:t>
            </w:r>
          </w:p>
        </w:tc>
        <w:tc>
          <w:tcPr>
            <w:tcW w:w="2346" w:type="dxa"/>
            <w:gridSpan w:val="2"/>
            <w:tcBorders>
              <w:top w:val="nil"/>
              <w:left w:val="nil"/>
              <w:bottom w:val="single" w:sz="4" w:space="0" w:color="auto"/>
              <w:right w:val="nil"/>
            </w:tcBorders>
            <w:hideMark/>
          </w:tcPr>
          <w:p w14:paraId="181FFB05" w14:textId="77777777" w:rsidR="00A13C03" w:rsidRPr="00584042" w:rsidRDefault="00A13C03" w:rsidP="00A13C03">
            <w:pPr>
              <w:spacing w:line="360" w:lineRule="auto"/>
              <w:jc w:val="center"/>
              <w:rPr>
                <w:rFonts w:ascii="Times New Roman" w:hAnsi="Times New Roman" w:cs="Times New Roman"/>
                <w:sz w:val="24"/>
                <w:szCs w:val="24"/>
              </w:rPr>
            </w:pPr>
            <w:r w:rsidRPr="00584042">
              <w:rPr>
                <w:rFonts w:ascii="Times New Roman" w:hAnsi="Times New Roman" w:cs="Times New Roman"/>
                <w:sz w:val="24"/>
                <w:szCs w:val="24"/>
              </w:rPr>
              <w:t>569</w:t>
            </w:r>
          </w:p>
        </w:tc>
      </w:tr>
    </w:tbl>
    <w:p w14:paraId="2F017DE7" w14:textId="67DD6A7E" w:rsidR="00584042" w:rsidRDefault="00584042" w:rsidP="00526A27">
      <w:pPr>
        <w:spacing w:line="360" w:lineRule="auto"/>
        <w:jc w:val="both"/>
        <w:rPr>
          <w:rFonts w:ascii="Times New Roman" w:hAnsi="Times New Roman" w:cs="Times New Roman"/>
          <w:b/>
          <w:i/>
          <w:sz w:val="24"/>
          <w:szCs w:val="24"/>
        </w:rPr>
      </w:pPr>
    </w:p>
    <w:p w14:paraId="43A7BB9F" w14:textId="44DEB639" w:rsidR="00A72AD8" w:rsidRPr="0052103D" w:rsidRDefault="00A72AD8" w:rsidP="00526A27">
      <w:pPr>
        <w:spacing w:line="360" w:lineRule="auto"/>
        <w:jc w:val="both"/>
        <w:rPr>
          <w:rFonts w:ascii="Times New Roman" w:hAnsi="Times New Roman" w:cs="Times New Roman"/>
          <w:b/>
          <w:i/>
          <w:sz w:val="24"/>
          <w:szCs w:val="24"/>
        </w:rPr>
      </w:pPr>
      <w:r w:rsidRPr="0052103D">
        <w:rPr>
          <w:rFonts w:ascii="Times New Roman" w:hAnsi="Times New Roman" w:cs="Times New Roman"/>
          <w:b/>
          <w:i/>
          <w:sz w:val="24"/>
          <w:szCs w:val="24"/>
        </w:rPr>
        <w:t>Instrumentos</w:t>
      </w:r>
    </w:p>
    <w:p w14:paraId="14D5A18D" w14:textId="590D7527" w:rsidR="00A72AD8" w:rsidRPr="00526A27" w:rsidRDefault="00A72AD8" w:rsidP="00526A27">
      <w:pPr>
        <w:spacing w:line="360" w:lineRule="auto"/>
        <w:jc w:val="both"/>
        <w:rPr>
          <w:rFonts w:ascii="Times New Roman" w:hAnsi="Times New Roman" w:cs="Times New Roman"/>
          <w:sz w:val="24"/>
          <w:szCs w:val="24"/>
        </w:rPr>
      </w:pPr>
      <w:r w:rsidRPr="00526A27">
        <w:rPr>
          <w:rFonts w:ascii="Times New Roman" w:hAnsi="Times New Roman" w:cs="Times New Roman"/>
          <w:sz w:val="24"/>
          <w:szCs w:val="24"/>
        </w:rPr>
        <w:t xml:space="preserve">El Inventario de Depresión de Beck I (BDI-IA) es un cuestionario de </w:t>
      </w:r>
      <w:proofErr w:type="spellStart"/>
      <w:r w:rsidRPr="00526A27">
        <w:rPr>
          <w:rFonts w:ascii="Times New Roman" w:hAnsi="Times New Roman" w:cs="Times New Roman"/>
          <w:sz w:val="24"/>
          <w:szCs w:val="24"/>
        </w:rPr>
        <w:t>autorreporte</w:t>
      </w:r>
      <w:proofErr w:type="spellEnd"/>
      <w:r w:rsidRPr="00526A27">
        <w:rPr>
          <w:rFonts w:ascii="Times New Roman" w:hAnsi="Times New Roman" w:cs="Times New Roman"/>
          <w:sz w:val="24"/>
          <w:szCs w:val="24"/>
        </w:rPr>
        <w:t xml:space="preserve"> desarrollado para medir la gravedad subjetiva de la sintomatología depresiva, durante la última semana (</w:t>
      </w:r>
      <w:r w:rsidR="00E965D2">
        <w:rPr>
          <w:rFonts w:ascii="Times New Roman" w:hAnsi="Times New Roman" w:cs="Times New Roman"/>
          <w:sz w:val="24"/>
          <w:szCs w:val="24"/>
        </w:rPr>
        <w:t xml:space="preserve">Beck, Ward, </w:t>
      </w:r>
      <w:proofErr w:type="spellStart"/>
      <w:r w:rsidR="00E965D2">
        <w:rPr>
          <w:rFonts w:ascii="Times New Roman" w:hAnsi="Times New Roman" w:cs="Times New Roman"/>
          <w:sz w:val="24"/>
          <w:szCs w:val="24"/>
        </w:rPr>
        <w:t>Mendelson</w:t>
      </w:r>
      <w:proofErr w:type="spellEnd"/>
      <w:r w:rsidR="00E965D2">
        <w:rPr>
          <w:rFonts w:ascii="Times New Roman" w:hAnsi="Times New Roman" w:cs="Times New Roman"/>
          <w:sz w:val="24"/>
          <w:szCs w:val="24"/>
        </w:rPr>
        <w:t xml:space="preserve">, </w:t>
      </w:r>
      <w:proofErr w:type="spellStart"/>
      <w:r w:rsidR="00E965D2">
        <w:rPr>
          <w:rFonts w:ascii="Times New Roman" w:hAnsi="Times New Roman" w:cs="Times New Roman"/>
          <w:sz w:val="24"/>
          <w:szCs w:val="24"/>
        </w:rPr>
        <w:t>Mock</w:t>
      </w:r>
      <w:proofErr w:type="spellEnd"/>
      <w:r w:rsidR="00E965D2">
        <w:rPr>
          <w:rFonts w:ascii="Times New Roman" w:hAnsi="Times New Roman" w:cs="Times New Roman"/>
          <w:sz w:val="24"/>
          <w:szCs w:val="24"/>
        </w:rPr>
        <w:t xml:space="preserve"> y </w:t>
      </w:r>
      <w:proofErr w:type="spellStart"/>
      <w:r w:rsidR="00E965D2">
        <w:rPr>
          <w:rFonts w:ascii="Times New Roman" w:hAnsi="Times New Roman" w:cs="Times New Roman"/>
          <w:sz w:val="24"/>
          <w:szCs w:val="24"/>
        </w:rPr>
        <w:t>Erbaugh</w:t>
      </w:r>
      <w:proofErr w:type="spellEnd"/>
      <w:r w:rsidR="00E965D2">
        <w:rPr>
          <w:rFonts w:ascii="Times New Roman" w:hAnsi="Times New Roman" w:cs="Times New Roman"/>
          <w:sz w:val="24"/>
          <w:szCs w:val="24"/>
        </w:rPr>
        <w:t>, 1961</w:t>
      </w:r>
      <w:r w:rsidRPr="00526A27">
        <w:rPr>
          <w:rFonts w:ascii="Times New Roman" w:hAnsi="Times New Roman" w:cs="Times New Roman"/>
          <w:sz w:val="24"/>
          <w:szCs w:val="24"/>
        </w:rPr>
        <w:t xml:space="preserve">). Consta de 21 ítems, con </w:t>
      </w:r>
      <w:r w:rsidRPr="00526A27">
        <w:rPr>
          <w:rFonts w:ascii="Times New Roman" w:hAnsi="Times New Roman" w:cs="Times New Roman"/>
          <w:sz w:val="24"/>
          <w:szCs w:val="24"/>
          <w:lang w:val="es-MX"/>
        </w:rPr>
        <w:t xml:space="preserve">cuatro opciones de respuesta (0 a 3 puntos) donde un mayor puntaje representa mayor </w:t>
      </w:r>
      <w:r w:rsidRPr="00526A27">
        <w:rPr>
          <w:rFonts w:ascii="Times New Roman" w:hAnsi="Times New Roman" w:cs="Times New Roman"/>
          <w:sz w:val="24"/>
          <w:szCs w:val="24"/>
          <w:lang w:val="es-MX"/>
        </w:rPr>
        <w:lastRenderedPageBreak/>
        <w:t>sintomatología depresiva (10). En este estudio se utilizó la</w:t>
      </w:r>
      <w:r w:rsidRPr="00526A27">
        <w:rPr>
          <w:rFonts w:ascii="Times New Roman" w:hAnsi="Times New Roman" w:cs="Times New Roman"/>
          <w:sz w:val="24"/>
          <w:szCs w:val="24"/>
        </w:rPr>
        <w:t xml:space="preserve"> versión adaptada por el equipo MIDAP, construida a partir de la versión española (</w:t>
      </w:r>
      <w:r w:rsidR="00E965D2">
        <w:rPr>
          <w:rFonts w:ascii="Times New Roman" w:hAnsi="Times New Roman" w:cs="Times New Roman"/>
          <w:sz w:val="24"/>
          <w:szCs w:val="24"/>
        </w:rPr>
        <w:t>Sanz y Vásquez, 1998</w:t>
      </w:r>
      <w:r w:rsidRPr="00526A27">
        <w:rPr>
          <w:rFonts w:ascii="Times New Roman" w:hAnsi="Times New Roman" w:cs="Times New Roman"/>
          <w:sz w:val="24"/>
          <w:szCs w:val="24"/>
        </w:rPr>
        <w:t xml:space="preserve">), la cual fue modificada en función del lenguaje más comúnmente usado en Chile. </w:t>
      </w:r>
    </w:p>
    <w:p w14:paraId="55408B43" w14:textId="77777777" w:rsidR="00A13C03" w:rsidRDefault="00A13C03" w:rsidP="00526A27">
      <w:pPr>
        <w:spacing w:line="360" w:lineRule="auto"/>
        <w:jc w:val="both"/>
        <w:rPr>
          <w:rFonts w:ascii="Times New Roman" w:hAnsi="Times New Roman" w:cs="Times New Roman"/>
          <w:b/>
          <w:i/>
          <w:sz w:val="24"/>
          <w:szCs w:val="24"/>
        </w:rPr>
      </w:pPr>
    </w:p>
    <w:p w14:paraId="62A34914" w14:textId="7F6B5FA0" w:rsidR="00A72AD8" w:rsidRPr="0052103D" w:rsidRDefault="00A72AD8" w:rsidP="00526A27">
      <w:pPr>
        <w:spacing w:line="360" w:lineRule="auto"/>
        <w:jc w:val="both"/>
        <w:rPr>
          <w:rFonts w:ascii="Times New Roman" w:hAnsi="Times New Roman" w:cs="Times New Roman"/>
          <w:b/>
          <w:i/>
          <w:sz w:val="24"/>
          <w:szCs w:val="24"/>
        </w:rPr>
      </w:pPr>
      <w:r w:rsidRPr="0052103D">
        <w:rPr>
          <w:rFonts w:ascii="Times New Roman" w:hAnsi="Times New Roman" w:cs="Times New Roman"/>
          <w:b/>
          <w:i/>
          <w:sz w:val="24"/>
          <w:szCs w:val="24"/>
        </w:rPr>
        <w:t>Procedimientos</w:t>
      </w:r>
    </w:p>
    <w:p w14:paraId="2D378093" w14:textId="77777777" w:rsidR="00A72AD8" w:rsidRPr="00526A27" w:rsidRDefault="00A72AD8" w:rsidP="00526A27">
      <w:pPr>
        <w:spacing w:line="360" w:lineRule="auto"/>
        <w:jc w:val="both"/>
        <w:rPr>
          <w:rFonts w:ascii="Times New Roman" w:hAnsi="Times New Roman" w:cs="Times New Roman"/>
          <w:sz w:val="24"/>
          <w:szCs w:val="24"/>
        </w:rPr>
      </w:pPr>
      <w:r w:rsidRPr="00526A27">
        <w:rPr>
          <w:rFonts w:ascii="Times New Roman" w:hAnsi="Times New Roman" w:cs="Times New Roman"/>
          <w:sz w:val="24"/>
          <w:szCs w:val="24"/>
        </w:rPr>
        <w:t xml:space="preserve">Cada estudio fue autorizado por el Comité de Ética de la institución respectiva. El Comité de </w:t>
      </w:r>
      <w:proofErr w:type="spellStart"/>
      <w:r w:rsidRPr="00526A27">
        <w:rPr>
          <w:rFonts w:ascii="Times New Roman" w:hAnsi="Times New Roman" w:cs="Times New Roman"/>
          <w:sz w:val="24"/>
          <w:szCs w:val="24"/>
        </w:rPr>
        <w:t>Psicomédica</w:t>
      </w:r>
      <w:proofErr w:type="spellEnd"/>
      <w:r w:rsidRPr="00526A27">
        <w:rPr>
          <w:rFonts w:ascii="Times New Roman" w:hAnsi="Times New Roman" w:cs="Times New Roman"/>
          <w:sz w:val="24"/>
          <w:szCs w:val="24"/>
        </w:rPr>
        <w:t xml:space="preserve"> </w:t>
      </w:r>
      <w:proofErr w:type="spellStart"/>
      <w:r w:rsidRPr="00526A27">
        <w:rPr>
          <w:rFonts w:ascii="Times New Roman" w:hAnsi="Times New Roman" w:cs="Times New Roman"/>
          <w:sz w:val="24"/>
          <w:szCs w:val="24"/>
        </w:rPr>
        <w:t>Research</w:t>
      </w:r>
      <w:proofErr w:type="spellEnd"/>
      <w:r w:rsidRPr="00526A27">
        <w:rPr>
          <w:rFonts w:ascii="Times New Roman" w:hAnsi="Times New Roman" w:cs="Times New Roman"/>
          <w:sz w:val="24"/>
          <w:szCs w:val="24"/>
        </w:rPr>
        <w:t xml:space="preserve"> </w:t>
      </w:r>
      <w:proofErr w:type="spellStart"/>
      <w:r w:rsidRPr="00526A27">
        <w:rPr>
          <w:rFonts w:ascii="Times New Roman" w:hAnsi="Times New Roman" w:cs="Times New Roman"/>
          <w:sz w:val="24"/>
          <w:szCs w:val="24"/>
        </w:rPr>
        <w:t>Group</w:t>
      </w:r>
      <w:proofErr w:type="spellEnd"/>
      <w:r w:rsidRPr="00526A27">
        <w:rPr>
          <w:rFonts w:ascii="Times New Roman" w:hAnsi="Times New Roman" w:cs="Times New Roman"/>
          <w:sz w:val="24"/>
          <w:szCs w:val="24"/>
        </w:rPr>
        <w:t xml:space="preserve"> autorizó el estudio con el grupo de consultantes con diagnóstico de depresión mientras que los Comités de Ética de la Escuela de Psicología, de la Pontificia Universidad Católica de Chile, y de la Universidad del Desarrollo, autorizaron los estudios en los contextos universitario y escolar.</w:t>
      </w:r>
    </w:p>
    <w:p w14:paraId="454C47FE" w14:textId="77777777" w:rsidR="00A72AD8" w:rsidRPr="00526A27" w:rsidRDefault="00A72AD8" w:rsidP="00526A27">
      <w:pPr>
        <w:spacing w:line="360" w:lineRule="auto"/>
        <w:jc w:val="both"/>
        <w:rPr>
          <w:rFonts w:ascii="Times New Roman" w:hAnsi="Times New Roman" w:cs="Times New Roman"/>
          <w:sz w:val="24"/>
          <w:szCs w:val="24"/>
        </w:rPr>
      </w:pPr>
      <w:r w:rsidRPr="00526A27">
        <w:rPr>
          <w:rFonts w:ascii="Times New Roman" w:hAnsi="Times New Roman" w:cs="Times New Roman"/>
          <w:sz w:val="24"/>
          <w:szCs w:val="24"/>
        </w:rPr>
        <w:t>Los participantes aceptaron voluntariamente formar parte de los estudios y firmaron el consentimiento informado correspondiente a cada uno de ellos. El inventario BDI-IA se aplicó como uno de los cuestionarios de la batería específica de instrumentos de cada estudio. En el grupo con diagnóstico de depresión, la aplicación fue realizada antes del inicio del proceso psicoterapéutico en forma individual, completando el paciente el cuestionario en el contexto de las entrevistas iniciales. En los grupos sin diagnóstico conocido, la modalidad de aplicación fue individual (apoderados) o colectiva (estudiantes universitarios).</w:t>
      </w:r>
    </w:p>
    <w:p w14:paraId="1A72A4C8" w14:textId="77777777" w:rsidR="00A72AD8" w:rsidRPr="00526A27" w:rsidRDefault="00A72AD8" w:rsidP="00526A27">
      <w:pPr>
        <w:spacing w:line="360" w:lineRule="auto"/>
        <w:jc w:val="both"/>
        <w:rPr>
          <w:rFonts w:ascii="Times New Roman" w:hAnsi="Times New Roman" w:cs="Times New Roman"/>
          <w:sz w:val="24"/>
          <w:szCs w:val="24"/>
        </w:rPr>
      </w:pPr>
      <w:r w:rsidRPr="00526A27">
        <w:rPr>
          <w:rFonts w:ascii="Times New Roman" w:hAnsi="Times New Roman" w:cs="Times New Roman"/>
          <w:sz w:val="24"/>
          <w:szCs w:val="24"/>
        </w:rPr>
        <w:t>Como se mencionó anteriormente, los grupos se combinaron aleatoriamente para generar dos grupos mixtos. El primer grupo mixto se utilizó para establecer una solución factorial inicial (Análisis Factorial Exploratorio, AFE, N=536) y el segundo para determinar el ajuste de la solución factorial obtenida anteriormente (Análisis Factorial Confirmatorio, AFC, N=569).</w:t>
      </w:r>
    </w:p>
    <w:p w14:paraId="3B284767" w14:textId="5B130E3C" w:rsidR="00A72AD8" w:rsidRPr="00526A27" w:rsidRDefault="00A72AD8" w:rsidP="00526A27">
      <w:pPr>
        <w:spacing w:line="360" w:lineRule="auto"/>
        <w:jc w:val="both"/>
        <w:rPr>
          <w:rFonts w:ascii="Times New Roman" w:hAnsi="Times New Roman" w:cs="Times New Roman"/>
          <w:sz w:val="24"/>
          <w:szCs w:val="24"/>
        </w:rPr>
      </w:pPr>
      <w:r w:rsidRPr="00526A27">
        <w:rPr>
          <w:rFonts w:ascii="Times New Roman" w:hAnsi="Times New Roman" w:cs="Times New Roman"/>
          <w:sz w:val="24"/>
          <w:szCs w:val="24"/>
        </w:rPr>
        <w:t>El AFE se desarrolló utilizando como método de extracción de factores el análisis de ejes principales, considerando que es una de las estrategias más idóneas cuando no se cumple la normalidad multivariada (</w:t>
      </w:r>
      <w:proofErr w:type="spellStart"/>
      <w:r w:rsidR="00E965D2">
        <w:rPr>
          <w:rFonts w:ascii="Times New Roman" w:hAnsi="Times New Roman" w:cs="Times New Roman"/>
          <w:sz w:val="24"/>
          <w:szCs w:val="24"/>
        </w:rPr>
        <w:t>Fabrigar</w:t>
      </w:r>
      <w:proofErr w:type="spellEnd"/>
      <w:r w:rsidR="00E965D2">
        <w:rPr>
          <w:rFonts w:ascii="Times New Roman" w:hAnsi="Times New Roman" w:cs="Times New Roman"/>
          <w:sz w:val="24"/>
          <w:szCs w:val="24"/>
        </w:rPr>
        <w:t xml:space="preserve">, Wegener, </w:t>
      </w:r>
      <w:proofErr w:type="spellStart"/>
      <w:r w:rsidR="00E965D2">
        <w:rPr>
          <w:rFonts w:ascii="Times New Roman" w:hAnsi="Times New Roman" w:cs="Times New Roman"/>
          <w:sz w:val="24"/>
          <w:szCs w:val="24"/>
        </w:rPr>
        <w:t>MacCallum</w:t>
      </w:r>
      <w:proofErr w:type="spellEnd"/>
      <w:r w:rsidR="00E965D2">
        <w:rPr>
          <w:rFonts w:ascii="Times New Roman" w:hAnsi="Times New Roman" w:cs="Times New Roman"/>
          <w:sz w:val="24"/>
          <w:szCs w:val="24"/>
        </w:rPr>
        <w:t xml:space="preserve"> y </w:t>
      </w:r>
      <w:proofErr w:type="spellStart"/>
      <w:r w:rsidR="00E965D2">
        <w:rPr>
          <w:rFonts w:ascii="Times New Roman" w:hAnsi="Times New Roman" w:cs="Times New Roman"/>
          <w:sz w:val="24"/>
          <w:szCs w:val="24"/>
        </w:rPr>
        <w:t>Strahan</w:t>
      </w:r>
      <w:proofErr w:type="spellEnd"/>
      <w:r w:rsidR="00E965D2">
        <w:rPr>
          <w:rFonts w:ascii="Times New Roman" w:hAnsi="Times New Roman" w:cs="Times New Roman"/>
          <w:sz w:val="24"/>
          <w:szCs w:val="24"/>
        </w:rPr>
        <w:t>, 1999</w:t>
      </w:r>
      <w:r w:rsidRPr="00526A27">
        <w:rPr>
          <w:rFonts w:ascii="Times New Roman" w:hAnsi="Times New Roman" w:cs="Times New Roman"/>
          <w:sz w:val="24"/>
          <w:szCs w:val="24"/>
        </w:rPr>
        <w:t xml:space="preserve">). Para determinar el número de factores a extraer se utilizó como criterio el Test MAP de </w:t>
      </w:r>
      <w:proofErr w:type="spellStart"/>
      <w:r w:rsidRPr="00526A27">
        <w:rPr>
          <w:rFonts w:ascii="Times New Roman" w:hAnsi="Times New Roman" w:cs="Times New Roman"/>
          <w:sz w:val="24"/>
          <w:szCs w:val="24"/>
        </w:rPr>
        <w:t>Velicer</w:t>
      </w:r>
      <w:proofErr w:type="spellEnd"/>
      <w:r w:rsidRPr="00526A27">
        <w:rPr>
          <w:rFonts w:ascii="Times New Roman" w:hAnsi="Times New Roman" w:cs="Times New Roman"/>
          <w:sz w:val="24"/>
          <w:szCs w:val="24"/>
        </w:rPr>
        <w:t xml:space="preserve"> (</w:t>
      </w:r>
      <w:r w:rsidR="00E965D2">
        <w:rPr>
          <w:rFonts w:ascii="Times New Roman" w:hAnsi="Times New Roman" w:cs="Times New Roman"/>
          <w:sz w:val="24"/>
          <w:szCs w:val="24"/>
        </w:rPr>
        <w:t>O’Connor, 2000</w:t>
      </w:r>
      <w:r w:rsidRPr="00526A27">
        <w:rPr>
          <w:rFonts w:ascii="Times New Roman" w:hAnsi="Times New Roman" w:cs="Times New Roman"/>
          <w:sz w:val="24"/>
          <w:szCs w:val="24"/>
        </w:rPr>
        <w:t xml:space="preserve">). Adicionalmente, se extrajo el gráfico de sedimentación. </w:t>
      </w:r>
    </w:p>
    <w:p w14:paraId="1347FD7B" w14:textId="54059C80" w:rsidR="00A72AD8" w:rsidRPr="00526A27" w:rsidRDefault="00A72AD8" w:rsidP="00526A27">
      <w:pPr>
        <w:spacing w:line="360" w:lineRule="auto"/>
        <w:jc w:val="both"/>
        <w:rPr>
          <w:rFonts w:ascii="Times New Roman" w:hAnsi="Times New Roman" w:cs="Times New Roman"/>
          <w:sz w:val="24"/>
          <w:szCs w:val="24"/>
        </w:rPr>
      </w:pPr>
      <w:r w:rsidRPr="00526A27">
        <w:rPr>
          <w:rFonts w:ascii="Times New Roman" w:hAnsi="Times New Roman" w:cs="Times New Roman"/>
          <w:sz w:val="24"/>
          <w:szCs w:val="24"/>
        </w:rPr>
        <w:t xml:space="preserve">En función de los resultados del AFE, el AFC testeó el modelo de un solo factor. Dado que los ítems del instrumento no cumplen con el supuesto de normalidad multivariada y son de </w:t>
      </w:r>
      <w:r w:rsidRPr="00526A27">
        <w:rPr>
          <w:rFonts w:ascii="Times New Roman" w:hAnsi="Times New Roman" w:cs="Times New Roman"/>
          <w:sz w:val="24"/>
          <w:szCs w:val="24"/>
        </w:rPr>
        <w:lastRenderedPageBreak/>
        <w:t xml:space="preserve">naturaleza ordinal, se utilizó </w:t>
      </w:r>
      <w:proofErr w:type="spellStart"/>
      <w:r w:rsidRPr="00526A27">
        <w:rPr>
          <w:rFonts w:ascii="Times New Roman" w:hAnsi="Times New Roman" w:cs="Times New Roman"/>
          <w:sz w:val="24"/>
          <w:szCs w:val="24"/>
        </w:rPr>
        <w:t>Weighted</w:t>
      </w:r>
      <w:proofErr w:type="spellEnd"/>
      <w:r w:rsidRPr="00526A27">
        <w:rPr>
          <w:rFonts w:ascii="Times New Roman" w:hAnsi="Times New Roman" w:cs="Times New Roman"/>
          <w:sz w:val="24"/>
          <w:szCs w:val="24"/>
        </w:rPr>
        <w:t xml:space="preserve"> </w:t>
      </w:r>
      <w:proofErr w:type="spellStart"/>
      <w:r w:rsidRPr="00526A27">
        <w:rPr>
          <w:rFonts w:ascii="Times New Roman" w:hAnsi="Times New Roman" w:cs="Times New Roman"/>
          <w:sz w:val="24"/>
          <w:szCs w:val="24"/>
        </w:rPr>
        <w:t>Least</w:t>
      </w:r>
      <w:proofErr w:type="spellEnd"/>
      <w:r w:rsidRPr="00526A27">
        <w:rPr>
          <w:rFonts w:ascii="Times New Roman" w:hAnsi="Times New Roman" w:cs="Times New Roman"/>
          <w:sz w:val="24"/>
          <w:szCs w:val="24"/>
        </w:rPr>
        <w:t xml:space="preserve"> </w:t>
      </w:r>
      <w:proofErr w:type="spellStart"/>
      <w:r w:rsidRPr="00526A27">
        <w:rPr>
          <w:rFonts w:ascii="Times New Roman" w:hAnsi="Times New Roman" w:cs="Times New Roman"/>
          <w:sz w:val="24"/>
          <w:szCs w:val="24"/>
        </w:rPr>
        <w:t>Squares</w:t>
      </w:r>
      <w:proofErr w:type="spellEnd"/>
      <w:r w:rsidRPr="00526A27">
        <w:rPr>
          <w:rFonts w:ascii="Times New Roman" w:hAnsi="Times New Roman" w:cs="Times New Roman"/>
          <w:sz w:val="24"/>
          <w:szCs w:val="24"/>
        </w:rPr>
        <w:t xml:space="preserve"> (WLS) como método de estimación, según lo recomendado en la literatura (</w:t>
      </w:r>
      <w:r w:rsidR="00E965D2">
        <w:rPr>
          <w:rFonts w:ascii="Times New Roman" w:hAnsi="Times New Roman" w:cs="Times New Roman"/>
          <w:sz w:val="24"/>
          <w:szCs w:val="24"/>
        </w:rPr>
        <w:t xml:space="preserve">Jackson, </w:t>
      </w:r>
      <w:proofErr w:type="spellStart"/>
      <w:r w:rsidR="00E965D2">
        <w:rPr>
          <w:rFonts w:ascii="Times New Roman" w:hAnsi="Times New Roman" w:cs="Times New Roman"/>
          <w:sz w:val="24"/>
          <w:szCs w:val="24"/>
        </w:rPr>
        <w:t>Gillaspy</w:t>
      </w:r>
      <w:proofErr w:type="spellEnd"/>
      <w:r w:rsidR="00E965D2">
        <w:rPr>
          <w:rFonts w:ascii="Times New Roman" w:hAnsi="Times New Roman" w:cs="Times New Roman"/>
          <w:sz w:val="24"/>
          <w:szCs w:val="24"/>
        </w:rPr>
        <w:t xml:space="preserve"> y </w:t>
      </w:r>
      <w:proofErr w:type="spellStart"/>
      <w:r w:rsidR="00E965D2">
        <w:rPr>
          <w:rFonts w:ascii="Times New Roman" w:hAnsi="Times New Roman" w:cs="Times New Roman"/>
          <w:sz w:val="24"/>
          <w:szCs w:val="24"/>
        </w:rPr>
        <w:t>Purc</w:t>
      </w:r>
      <w:proofErr w:type="spellEnd"/>
      <w:r w:rsidR="00E965D2">
        <w:rPr>
          <w:rFonts w:ascii="Times New Roman" w:hAnsi="Times New Roman" w:cs="Times New Roman"/>
          <w:sz w:val="24"/>
          <w:szCs w:val="24"/>
        </w:rPr>
        <w:t>-Stephenson, 2009</w:t>
      </w:r>
      <w:r w:rsidRPr="00526A27">
        <w:rPr>
          <w:rFonts w:ascii="Times New Roman" w:hAnsi="Times New Roman" w:cs="Times New Roman"/>
          <w:sz w:val="24"/>
          <w:szCs w:val="24"/>
        </w:rPr>
        <w:t>). Como indicadores de ajuste del modelo, se consideraron diferentes índices</w:t>
      </w:r>
      <w:r w:rsidRPr="00526A27">
        <w:rPr>
          <w:rFonts w:ascii="Times New Roman" w:hAnsi="Times New Roman" w:cs="Times New Roman"/>
          <w:color w:val="000000"/>
          <w:sz w:val="24"/>
          <w:szCs w:val="24"/>
        </w:rPr>
        <w:t>: a) contraste de razón de verosimilitudes o estadístico chi-cuadrado, el cual indica un buen ajuste del modelo cuando no es significativo (</w:t>
      </w:r>
      <w:r w:rsidRPr="00526A27">
        <w:rPr>
          <w:rFonts w:ascii="Times New Roman" w:hAnsi="Times New Roman" w:cs="Times New Roman"/>
          <w:i/>
          <w:color w:val="000000"/>
          <w:sz w:val="24"/>
          <w:szCs w:val="24"/>
        </w:rPr>
        <w:t>p</w:t>
      </w:r>
      <w:r w:rsidRPr="00526A27">
        <w:rPr>
          <w:rFonts w:ascii="Times New Roman" w:hAnsi="Times New Roman" w:cs="Times New Roman"/>
          <w:color w:val="000000"/>
          <w:sz w:val="24"/>
          <w:szCs w:val="24"/>
        </w:rPr>
        <w:t>≥ .05), (</w:t>
      </w:r>
      <w:r w:rsidR="00E965D2">
        <w:rPr>
          <w:rFonts w:ascii="Times New Roman" w:hAnsi="Times New Roman" w:cs="Times New Roman"/>
          <w:color w:val="000000"/>
          <w:sz w:val="24"/>
          <w:szCs w:val="24"/>
        </w:rPr>
        <w:t>Batista-</w:t>
      </w:r>
      <w:proofErr w:type="spellStart"/>
      <w:r w:rsidR="00E965D2">
        <w:rPr>
          <w:rFonts w:ascii="Times New Roman" w:hAnsi="Times New Roman" w:cs="Times New Roman"/>
          <w:color w:val="000000"/>
          <w:sz w:val="24"/>
          <w:szCs w:val="24"/>
        </w:rPr>
        <w:t>Foguet</w:t>
      </w:r>
      <w:proofErr w:type="spellEnd"/>
      <w:r w:rsidR="00E965D2">
        <w:rPr>
          <w:rFonts w:ascii="Times New Roman" w:hAnsi="Times New Roman" w:cs="Times New Roman"/>
          <w:color w:val="000000"/>
          <w:sz w:val="24"/>
          <w:szCs w:val="24"/>
        </w:rPr>
        <w:t xml:space="preserve">, </w:t>
      </w:r>
      <w:proofErr w:type="spellStart"/>
      <w:r w:rsidR="00E965D2">
        <w:rPr>
          <w:rFonts w:ascii="Times New Roman" w:hAnsi="Times New Roman" w:cs="Times New Roman"/>
          <w:color w:val="000000"/>
          <w:sz w:val="24"/>
          <w:szCs w:val="24"/>
        </w:rPr>
        <w:t>Coenders</w:t>
      </w:r>
      <w:proofErr w:type="spellEnd"/>
      <w:r w:rsidR="00E965D2">
        <w:rPr>
          <w:rFonts w:ascii="Times New Roman" w:hAnsi="Times New Roman" w:cs="Times New Roman"/>
          <w:color w:val="000000"/>
          <w:sz w:val="24"/>
          <w:szCs w:val="24"/>
        </w:rPr>
        <w:t xml:space="preserve"> y Alonso, </w:t>
      </w:r>
      <w:r w:rsidR="00D56197">
        <w:rPr>
          <w:rFonts w:ascii="Times New Roman" w:hAnsi="Times New Roman" w:cs="Times New Roman"/>
          <w:color w:val="000000"/>
          <w:sz w:val="24"/>
          <w:szCs w:val="24"/>
        </w:rPr>
        <w:t>2004</w:t>
      </w:r>
      <w:r w:rsidRPr="00526A27">
        <w:rPr>
          <w:rFonts w:ascii="Times New Roman" w:hAnsi="Times New Roman" w:cs="Times New Roman"/>
          <w:color w:val="000000"/>
          <w:sz w:val="24"/>
          <w:szCs w:val="24"/>
        </w:rPr>
        <w:t>); b) Raíz Media Cuadrática del Error de Aproximación (</w:t>
      </w:r>
      <w:proofErr w:type="spellStart"/>
      <w:r w:rsidRPr="00526A27">
        <w:rPr>
          <w:rFonts w:ascii="Times New Roman" w:hAnsi="Times New Roman" w:cs="Times New Roman"/>
          <w:color w:val="000000"/>
          <w:sz w:val="24"/>
          <w:szCs w:val="24"/>
        </w:rPr>
        <w:t>Root</w:t>
      </w:r>
      <w:proofErr w:type="spellEnd"/>
      <w:r w:rsidRPr="00526A27">
        <w:rPr>
          <w:rFonts w:ascii="Times New Roman" w:hAnsi="Times New Roman" w:cs="Times New Roman"/>
          <w:color w:val="000000"/>
          <w:sz w:val="24"/>
          <w:szCs w:val="24"/>
        </w:rPr>
        <w:t xml:space="preserve"> Mean Square Error </w:t>
      </w:r>
      <w:proofErr w:type="spellStart"/>
      <w:r w:rsidRPr="00526A27">
        <w:rPr>
          <w:rFonts w:ascii="Times New Roman" w:hAnsi="Times New Roman" w:cs="Times New Roman"/>
          <w:color w:val="000000"/>
          <w:sz w:val="24"/>
          <w:szCs w:val="24"/>
        </w:rPr>
        <w:t>of</w:t>
      </w:r>
      <w:proofErr w:type="spellEnd"/>
      <w:r w:rsidRPr="00526A27">
        <w:rPr>
          <w:rFonts w:ascii="Times New Roman" w:hAnsi="Times New Roman" w:cs="Times New Roman"/>
          <w:color w:val="000000"/>
          <w:sz w:val="24"/>
          <w:szCs w:val="24"/>
        </w:rPr>
        <w:t xml:space="preserve"> </w:t>
      </w:r>
      <w:proofErr w:type="spellStart"/>
      <w:r w:rsidRPr="00526A27">
        <w:rPr>
          <w:rFonts w:ascii="Times New Roman" w:hAnsi="Times New Roman" w:cs="Times New Roman"/>
          <w:color w:val="000000"/>
          <w:sz w:val="24"/>
          <w:szCs w:val="24"/>
        </w:rPr>
        <w:t>Approximation</w:t>
      </w:r>
      <w:proofErr w:type="spellEnd"/>
      <w:r w:rsidRPr="00526A27">
        <w:rPr>
          <w:rFonts w:ascii="Times New Roman" w:hAnsi="Times New Roman" w:cs="Times New Roman"/>
          <w:color w:val="000000"/>
          <w:sz w:val="24"/>
          <w:szCs w:val="24"/>
        </w:rPr>
        <w:t xml:space="preserve">; RMSEA), donde valores </w:t>
      </w:r>
      <w:r w:rsidRPr="00526A27">
        <w:rPr>
          <w:rFonts w:ascii="Times New Roman" w:hAnsi="Times New Roman" w:cs="Times New Roman"/>
          <w:i/>
          <w:color w:val="000000"/>
          <w:sz w:val="24"/>
          <w:szCs w:val="24"/>
        </w:rPr>
        <w:t>RMSEA</w:t>
      </w:r>
      <w:r w:rsidRPr="00526A27">
        <w:rPr>
          <w:rFonts w:ascii="Times New Roman" w:hAnsi="Times New Roman" w:cs="Times New Roman"/>
          <w:color w:val="000000"/>
          <w:sz w:val="24"/>
          <w:szCs w:val="24"/>
        </w:rPr>
        <w:t xml:space="preserve"> ≤ .05 indicarían un buen ajuste, mientras que valores que fluctúen entre .05 y .08 indicarían  un ajuste aceptable (</w:t>
      </w:r>
      <w:r w:rsidR="00D56197">
        <w:rPr>
          <w:rFonts w:ascii="Times New Roman" w:hAnsi="Times New Roman" w:cs="Times New Roman"/>
          <w:color w:val="000000"/>
          <w:sz w:val="24"/>
          <w:szCs w:val="24"/>
        </w:rPr>
        <w:t xml:space="preserve">Browne y </w:t>
      </w:r>
      <w:proofErr w:type="spellStart"/>
      <w:r w:rsidR="00D56197">
        <w:rPr>
          <w:rFonts w:ascii="Times New Roman" w:hAnsi="Times New Roman" w:cs="Times New Roman"/>
          <w:color w:val="000000"/>
          <w:sz w:val="24"/>
          <w:szCs w:val="24"/>
        </w:rPr>
        <w:t>Cudeck</w:t>
      </w:r>
      <w:proofErr w:type="spellEnd"/>
      <w:r w:rsidR="00D56197">
        <w:rPr>
          <w:rFonts w:ascii="Times New Roman" w:hAnsi="Times New Roman" w:cs="Times New Roman"/>
          <w:color w:val="000000"/>
          <w:sz w:val="24"/>
          <w:szCs w:val="24"/>
        </w:rPr>
        <w:t>, 1993</w:t>
      </w:r>
      <w:r w:rsidRPr="00526A27">
        <w:rPr>
          <w:rFonts w:ascii="Times New Roman" w:hAnsi="Times New Roman" w:cs="Times New Roman"/>
          <w:color w:val="000000"/>
          <w:sz w:val="24"/>
          <w:szCs w:val="24"/>
        </w:rPr>
        <w:t>); y c) Índice de Ajuste Comparativo (</w:t>
      </w:r>
      <w:proofErr w:type="spellStart"/>
      <w:r w:rsidRPr="00526A27">
        <w:rPr>
          <w:rFonts w:ascii="Times New Roman" w:hAnsi="Times New Roman" w:cs="Times New Roman"/>
          <w:color w:val="000000"/>
          <w:sz w:val="24"/>
          <w:szCs w:val="24"/>
        </w:rPr>
        <w:t>Comparative</w:t>
      </w:r>
      <w:proofErr w:type="spellEnd"/>
      <w:r w:rsidRPr="00526A27">
        <w:rPr>
          <w:rFonts w:ascii="Times New Roman" w:hAnsi="Times New Roman" w:cs="Times New Roman"/>
          <w:color w:val="000000"/>
          <w:sz w:val="24"/>
          <w:szCs w:val="24"/>
        </w:rPr>
        <w:t xml:space="preserve"> </w:t>
      </w:r>
      <w:proofErr w:type="spellStart"/>
      <w:r w:rsidRPr="00526A27">
        <w:rPr>
          <w:rFonts w:ascii="Times New Roman" w:hAnsi="Times New Roman" w:cs="Times New Roman"/>
          <w:color w:val="000000"/>
          <w:sz w:val="24"/>
          <w:szCs w:val="24"/>
        </w:rPr>
        <w:t>Fit</w:t>
      </w:r>
      <w:proofErr w:type="spellEnd"/>
      <w:r w:rsidRPr="00526A27">
        <w:rPr>
          <w:rFonts w:ascii="Times New Roman" w:hAnsi="Times New Roman" w:cs="Times New Roman"/>
          <w:color w:val="000000"/>
          <w:sz w:val="24"/>
          <w:szCs w:val="24"/>
        </w:rPr>
        <w:t xml:space="preserve"> </w:t>
      </w:r>
      <w:proofErr w:type="spellStart"/>
      <w:r w:rsidRPr="00526A27">
        <w:rPr>
          <w:rFonts w:ascii="Times New Roman" w:hAnsi="Times New Roman" w:cs="Times New Roman"/>
          <w:color w:val="000000"/>
          <w:sz w:val="24"/>
          <w:szCs w:val="24"/>
        </w:rPr>
        <w:t>Index</w:t>
      </w:r>
      <w:proofErr w:type="spellEnd"/>
      <w:r w:rsidRPr="00526A27">
        <w:rPr>
          <w:rFonts w:ascii="Times New Roman" w:hAnsi="Times New Roman" w:cs="Times New Roman"/>
          <w:color w:val="000000"/>
          <w:sz w:val="24"/>
          <w:szCs w:val="24"/>
        </w:rPr>
        <w:t xml:space="preserve">, CFI), donde valores </w:t>
      </w:r>
      <w:r w:rsidRPr="00526A27">
        <w:rPr>
          <w:rFonts w:ascii="Times New Roman" w:hAnsi="Times New Roman" w:cs="Times New Roman"/>
          <w:i/>
          <w:color w:val="000000"/>
          <w:sz w:val="24"/>
          <w:szCs w:val="24"/>
        </w:rPr>
        <w:t>CFI</w:t>
      </w:r>
      <w:r w:rsidRPr="00526A27">
        <w:rPr>
          <w:rFonts w:ascii="Times New Roman" w:hAnsi="Times New Roman" w:cs="Times New Roman"/>
          <w:color w:val="000000"/>
          <w:sz w:val="24"/>
          <w:szCs w:val="24"/>
        </w:rPr>
        <w:t xml:space="preserve"> ≥ .95 indican un buen ajuste del modelo (</w:t>
      </w:r>
      <w:proofErr w:type="spellStart"/>
      <w:r w:rsidR="00D56197">
        <w:rPr>
          <w:rFonts w:ascii="Times New Roman" w:hAnsi="Times New Roman" w:cs="Times New Roman"/>
          <w:color w:val="000000"/>
          <w:sz w:val="24"/>
          <w:szCs w:val="24"/>
        </w:rPr>
        <w:t>Hu</w:t>
      </w:r>
      <w:proofErr w:type="spellEnd"/>
      <w:r w:rsidR="00D56197">
        <w:rPr>
          <w:rFonts w:ascii="Times New Roman" w:hAnsi="Times New Roman" w:cs="Times New Roman"/>
          <w:color w:val="000000"/>
          <w:sz w:val="24"/>
          <w:szCs w:val="24"/>
        </w:rPr>
        <w:t xml:space="preserve"> y </w:t>
      </w:r>
      <w:proofErr w:type="spellStart"/>
      <w:r w:rsidR="00D56197">
        <w:rPr>
          <w:rFonts w:ascii="Times New Roman" w:hAnsi="Times New Roman" w:cs="Times New Roman"/>
          <w:color w:val="000000"/>
          <w:sz w:val="24"/>
          <w:szCs w:val="24"/>
        </w:rPr>
        <w:t>Bentler</w:t>
      </w:r>
      <w:proofErr w:type="spellEnd"/>
      <w:r w:rsidR="00D56197">
        <w:rPr>
          <w:rFonts w:ascii="Times New Roman" w:hAnsi="Times New Roman" w:cs="Times New Roman"/>
          <w:color w:val="000000"/>
          <w:sz w:val="24"/>
          <w:szCs w:val="24"/>
        </w:rPr>
        <w:t>, 1999</w:t>
      </w:r>
      <w:r w:rsidRPr="00526A27">
        <w:rPr>
          <w:rFonts w:ascii="Times New Roman" w:hAnsi="Times New Roman" w:cs="Times New Roman"/>
          <w:color w:val="000000"/>
          <w:sz w:val="24"/>
          <w:szCs w:val="24"/>
        </w:rPr>
        <w:t xml:space="preserve">). Posteriormente, </w:t>
      </w:r>
      <w:r w:rsidRPr="00526A27">
        <w:rPr>
          <w:rFonts w:ascii="Times New Roman" w:hAnsi="Times New Roman" w:cs="Times New Roman"/>
          <w:sz w:val="24"/>
          <w:szCs w:val="24"/>
        </w:rPr>
        <w:t xml:space="preserve">se evaluó la invarianza factorial de la solución </w:t>
      </w:r>
      <w:proofErr w:type="spellStart"/>
      <w:r w:rsidRPr="00526A27">
        <w:rPr>
          <w:rFonts w:ascii="Times New Roman" w:hAnsi="Times New Roman" w:cs="Times New Roman"/>
          <w:sz w:val="24"/>
          <w:szCs w:val="24"/>
        </w:rPr>
        <w:t>uni-factorial</w:t>
      </w:r>
      <w:proofErr w:type="spellEnd"/>
      <w:r w:rsidRPr="00526A27">
        <w:rPr>
          <w:rFonts w:ascii="Times New Roman" w:hAnsi="Times New Roman" w:cs="Times New Roman"/>
          <w:sz w:val="24"/>
          <w:szCs w:val="24"/>
        </w:rPr>
        <w:t>, para determinar si esta solución era estable al considerar la variable sexo.</w:t>
      </w:r>
    </w:p>
    <w:p w14:paraId="4BD420F7" w14:textId="0293CE7E" w:rsidR="00A72AD8" w:rsidRPr="00526A27" w:rsidRDefault="00A72AD8" w:rsidP="00526A27">
      <w:pPr>
        <w:spacing w:line="360" w:lineRule="auto"/>
        <w:jc w:val="both"/>
        <w:rPr>
          <w:rFonts w:ascii="Times New Roman" w:hAnsi="Times New Roman" w:cs="Times New Roman"/>
          <w:sz w:val="24"/>
          <w:szCs w:val="24"/>
        </w:rPr>
      </w:pPr>
      <w:r w:rsidRPr="00526A27">
        <w:rPr>
          <w:rFonts w:ascii="Times New Roman" w:hAnsi="Times New Roman" w:cs="Times New Roman"/>
          <w:color w:val="000000"/>
          <w:sz w:val="24"/>
          <w:szCs w:val="24"/>
        </w:rPr>
        <w:t xml:space="preserve">Finalmente, se calculó la curva Receiver </w:t>
      </w:r>
      <w:proofErr w:type="spellStart"/>
      <w:r w:rsidRPr="00526A27">
        <w:rPr>
          <w:rFonts w:ascii="Times New Roman" w:hAnsi="Times New Roman" w:cs="Times New Roman"/>
          <w:color w:val="000000"/>
          <w:sz w:val="24"/>
          <w:szCs w:val="24"/>
        </w:rPr>
        <w:t>Operating</w:t>
      </w:r>
      <w:proofErr w:type="spellEnd"/>
      <w:r w:rsidRPr="00526A27">
        <w:rPr>
          <w:rFonts w:ascii="Times New Roman" w:hAnsi="Times New Roman" w:cs="Times New Roman"/>
          <w:color w:val="000000"/>
          <w:sz w:val="24"/>
          <w:szCs w:val="24"/>
        </w:rPr>
        <w:t xml:space="preserve"> </w:t>
      </w:r>
      <w:proofErr w:type="spellStart"/>
      <w:r w:rsidRPr="00526A27">
        <w:rPr>
          <w:rFonts w:ascii="Times New Roman" w:hAnsi="Times New Roman" w:cs="Times New Roman"/>
          <w:color w:val="000000"/>
          <w:sz w:val="24"/>
          <w:szCs w:val="24"/>
        </w:rPr>
        <w:t>Characteristic</w:t>
      </w:r>
      <w:proofErr w:type="spellEnd"/>
      <w:r w:rsidRPr="00526A27">
        <w:rPr>
          <w:rFonts w:ascii="Times New Roman" w:hAnsi="Times New Roman" w:cs="Times New Roman"/>
          <w:color w:val="000000"/>
          <w:sz w:val="24"/>
          <w:szCs w:val="24"/>
        </w:rPr>
        <w:t xml:space="preserve"> (ROC), con el fin de determinar de qué manera el BDI-IA permitiría distinguir entre las personas con diagnóstico clínico de depresión y aquellas sin presencia de patología </w:t>
      </w:r>
      <w:r w:rsidRPr="00526A27">
        <w:rPr>
          <w:rFonts w:ascii="Times New Roman" w:hAnsi="Times New Roman" w:cs="Times New Roman"/>
          <w:color w:val="000000"/>
          <w:sz w:val="24"/>
          <w:szCs w:val="24"/>
          <w:lang w:val="es-ES"/>
        </w:rPr>
        <w:t>(18)</w:t>
      </w:r>
      <w:r w:rsidRPr="00526A27">
        <w:rPr>
          <w:rFonts w:ascii="Times New Roman" w:hAnsi="Times New Roman" w:cs="Times New Roman"/>
          <w:color w:val="000000"/>
          <w:sz w:val="24"/>
          <w:szCs w:val="24"/>
        </w:rPr>
        <w:t xml:space="preserve">. La curva ROC fue calculada con la totalidad de la muestra, obteniendo el área bajo la curva, análisis que indica qué tan buen indicador es el BDI-IA </w:t>
      </w:r>
      <w:r w:rsidRPr="00526A27">
        <w:rPr>
          <w:rFonts w:ascii="Times New Roman" w:hAnsi="Times New Roman" w:cs="Times New Roman"/>
          <w:color w:val="000000"/>
          <w:sz w:val="24"/>
          <w:szCs w:val="24"/>
          <w:lang w:val="es-ES"/>
        </w:rPr>
        <w:t>para distinguir entre ambos grupos</w:t>
      </w:r>
      <w:r w:rsidRPr="00526A27">
        <w:rPr>
          <w:rFonts w:ascii="Times New Roman" w:hAnsi="Times New Roman" w:cs="Times New Roman"/>
          <w:color w:val="000000"/>
          <w:sz w:val="24"/>
          <w:szCs w:val="24"/>
        </w:rPr>
        <w:t xml:space="preserve">. Además, se calculó el puntaje de corte óptimo mediante dos métodos: el método </w:t>
      </w:r>
      <w:proofErr w:type="spellStart"/>
      <w:r w:rsidRPr="00526A27">
        <w:rPr>
          <w:rFonts w:ascii="Times New Roman" w:hAnsi="Times New Roman" w:cs="Times New Roman"/>
          <w:color w:val="000000"/>
          <w:sz w:val="24"/>
          <w:szCs w:val="24"/>
        </w:rPr>
        <w:t>Youden</w:t>
      </w:r>
      <w:proofErr w:type="spellEnd"/>
      <w:r w:rsidRPr="00526A27">
        <w:rPr>
          <w:rFonts w:ascii="Times New Roman" w:hAnsi="Times New Roman" w:cs="Times New Roman"/>
          <w:color w:val="000000"/>
          <w:sz w:val="24"/>
          <w:szCs w:val="24"/>
        </w:rPr>
        <w:t xml:space="preserve"> (</w:t>
      </w:r>
      <w:proofErr w:type="spellStart"/>
      <w:r w:rsidR="00D56197">
        <w:rPr>
          <w:rFonts w:ascii="Times New Roman" w:hAnsi="Times New Roman" w:cs="Times New Roman"/>
          <w:color w:val="000000"/>
          <w:sz w:val="24"/>
          <w:szCs w:val="24"/>
        </w:rPr>
        <w:t>Youden</w:t>
      </w:r>
      <w:proofErr w:type="spellEnd"/>
      <w:r w:rsidR="00D56197">
        <w:rPr>
          <w:rFonts w:ascii="Times New Roman" w:hAnsi="Times New Roman" w:cs="Times New Roman"/>
          <w:color w:val="000000"/>
          <w:sz w:val="24"/>
          <w:szCs w:val="24"/>
        </w:rPr>
        <w:t>, 1950</w:t>
      </w:r>
      <w:r w:rsidRPr="00526A27">
        <w:rPr>
          <w:rFonts w:ascii="Times New Roman" w:hAnsi="Times New Roman" w:cs="Times New Roman"/>
          <w:color w:val="000000"/>
          <w:sz w:val="24"/>
          <w:szCs w:val="24"/>
        </w:rPr>
        <w:t>) y el método de cercanía al vértice superior izquierdo (</w:t>
      </w:r>
      <w:r w:rsidR="00D56197">
        <w:rPr>
          <w:rFonts w:ascii="Times New Roman" w:hAnsi="Times New Roman" w:cs="Times New Roman"/>
          <w:color w:val="000000"/>
          <w:sz w:val="24"/>
          <w:szCs w:val="24"/>
        </w:rPr>
        <w:t xml:space="preserve">Perkins y </w:t>
      </w:r>
      <w:proofErr w:type="spellStart"/>
      <w:r w:rsidR="00D56197">
        <w:rPr>
          <w:rFonts w:ascii="Times New Roman" w:hAnsi="Times New Roman" w:cs="Times New Roman"/>
          <w:color w:val="000000"/>
          <w:sz w:val="24"/>
          <w:szCs w:val="24"/>
        </w:rPr>
        <w:t>Schisterman</w:t>
      </w:r>
      <w:proofErr w:type="spellEnd"/>
      <w:r w:rsidR="00D56197">
        <w:rPr>
          <w:rFonts w:ascii="Times New Roman" w:hAnsi="Times New Roman" w:cs="Times New Roman"/>
          <w:color w:val="000000"/>
          <w:sz w:val="24"/>
          <w:szCs w:val="24"/>
        </w:rPr>
        <w:t>, 2006</w:t>
      </w:r>
      <w:r w:rsidRPr="00526A27">
        <w:rPr>
          <w:rFonts w:ascii="Times New Roman" w:hAnsi="Times New Roman" w:cs="Times New Roman"/>
          <w:color w:val="000000"/>
          <w:sz w:val="24"/>
          <w:szCs w:val="24"/>
        </w:rPr>
        <w:t>). También se calculó la sensibilidad y la especificidad del puntaje de corte original (9/10</w:t>
      </w:r>
      <w:r w:rsidRPr="00526A27">
        <w:rPr>
          <w:rFonts w:ascii="Times New Roman" w:hAnsi="Times New Roman" w:cs="Times New Roman"/>
          <w:sz w:val="24"/>
          <w:szCs w:val="24"/>
        </w:rPr>
        <w:t>) (</w:t>
      </w:r>
      <w:r w:rsidR="00D56197">
        <w:rPr>
          <w:rFonts w:ascii="Times New Roman" w:hAnsi="Times New Roman" w:cs="Times New Roman"/>
          <w:sz w:val="24"/>
          <w:szCs w:val="24"/>
        </w:rPr>
        <w:t>Beck et al., 1961</w:t>
      </w:r>
      <w:r w:rsidRPr="00526A27">
        <w:rPr>
          <w:rFonts w:ascii="Times New Roman" w:hAnsi="Times New Roman" w:cs="Times New Roman"/>
          <w:sz w:val="24"/>
          <w:szCs w:val="24"/>
        </w:rPr>
        <w:t>).</w:t>
      </w:r>
    </w:p>
    <w:p w14:paraId="33E0D316" w14:textId="482B78F1" w:rsidR="00A61758" w:rsidRDefault="00A72AD8" w:rsidP="00526A27">
      <w:pPr>
        <w:spacing w:line="360" w:lineRule="auto"/>
        <w:jc w:val="both"/>
        <w:rPr>
          <w:rFonts w:ascii="Times New Roman" w:hAnsi="Times New Roman" w:cs="Times New Roman"/>
          <w:sz w:val="24"/>
          <w:szCs w:val="24"/>
        </w:rPr>
      </w:pPr>
      <w:r w:rsidRPr="00526A27">
        <w:rPr>
          <w:rFonts w:ascii="Times New Roman" w:hAnsi="Times New Roman" w:cs="Times New Roman"/>
          <w:sz w:val="24"/>
          <w:szCs w:val="24"/>
        </w:rPr>
        <w:t xml:space="preserve">El AFE y la curva ROC fueron realizados en el software estadístico </w:t>
      </w:r>
      <w:proofErr w:type="gramStart"/>
      <w:r w:rsidRPr="00526A27">
        <w:rPr>
          <w:rFonts w:ascii="Times New Roman" w:hAnsi="Times New Roman" w:cs="Times New Roman"/>
          <w:sz w:val="24"/>
          <w:szCs w:val="24"/>
        </w:rPr>
        <w:t>R.v</w:t>
      </w:r>
      <w:proofErr w:type="gramEnd"/>
      <w:r w:rsidRPr="00526A27">
        <w:rPr>
          <w:rFonts w:ascii="Times New Roman" w:hAnsi="Times New Roman" w:cs="Times New Roman"/>
          <w:sz w:val="24"/>
          <w:szCs w:val="24"/>
        </w:rPr>
        <w:t>3.1.2. (</w:t>
      </w:r>
      <w:r w:rsidR="00D56197">
        <w:rPr>
          <w:rFonts w:ascii="Times New Roman" w:hAnsi="Times New Roman" w:cs="Times New Roman"/>
          <w:sz w:val="24"/>
          <w:szCs w:val="24"/>
        </w:rPr>
        <w:t xml:space="preserve">R </w:t>
      </w:r>
      <w:proofErr w:type="spellStart"/>
      <w:r w:rsidR="00D56197">
        <w:rPr>
          <w:rFonts w:ascii="Times New Roman" w:hAnsi="Times New Roman" w:cs="Times New Roman"/>
          <w:sz w:val="24"/>
          <w:szCs w:val="24"/>
        </w:rPr>
        <w:t>Development</w:t>
      </w:r>
      <w:proofErr w:type="spellEnd"/>
      <w:r w:rsidR="00D56197">
        <w:rPr>
          <w:rFonts w:ascii="Times New Roman" w:hAnsi="Times New Roman" w:cs="Times New Roman"/>
          <w:sz w:val="24"/>
          <w:szCs w:val="24"/>
        </w:rPr>
        <w:t xml:space="preserve"> </w:t>
      </w:r>
      <w:proofErr w:type="spellStart"/>
      <w:r w:rsidR="00D56197">
        <w:rPr>
          <w:rFonts w:ascii="Times New Roman" w:hAnsi="Times New Roman" w:cs="Times New Roman"/>
          <w:sz w:val="24"/>
          <w:szCs w:val="24"/>
        </w:rPr>
        <w:t>Team</w:t>
      </w:r>
      <w:proofErr w:type="spellEnd"/>
      <w:r w:rsidR="00D56197">
        <w:rPr>
          <w:rFonts w:ascii="Times New Roman" w:hAnsi="Times New Roman" w:cs="Times New Roman"/>
          <w:sz w:val="24"/>
          <w:szCs w:val="24"/>
        </w:rPr>
        <w:t>, 2014</w:t>
      </w:r>
      <w:r w:rsidRPr="00526A27">
        <w:rPr>
          <w:rFonts w:ascii="Times New Roman" w:hAnsi="Times New Roman" w:cs="Times New Roman"/>
          <w:sz w:val="24"/>
          <w:szCs w:val="24"/>
        </w:rPr>
        <w:t xml:space="preserve">). Para la curva ROC se utilizó la librería </w:t>
      </w:r>
      <w:proofErr w:type="spellStart"/>
      <w:r w:rsidRPr="00526A27">
        <w:rPr>
          <w:rFonts w:ascii="Times New Roman" w:hAnsi="Times New Roman" w:cs="Times New Roman"/>
          <w:sz w:val="24"/>
          <w:szCs w:val="24"/>
        </w:rPr>
        <w:t>pROC</w:t>
      </w:r>
      <w:proofErr w:type="spellEnd"/>
      <w:r w:rsidRPr="00526A27">
        <w:rPr>
          <w:rFonts w:ascii="Times New Roman" w:hAnsi="Times New Roman" w:cs="Times New Roman"/>
          <w:sz w:val="24"/>
          <w:szCs w:val="24"/>
        </w:rPr>
        <w:t xml:space="preserve"> del mismo software estadístico (</w:t>
      </w:r>
      <w:r w:rsidR="00D56197">
        <w:rPr>
          <w:rFonts w:ascii="Times New Roman" w:hAnsi="Times New Roman" w:cs="Times New Roman"/>
          <w:sz w:val="24"/>
          <w:szCs w:val="24"/>
        </w:rPr>
        <w:t xml:space="preserve">Robin, </w:t>
      </w:r>
      <w:proofErr w:type="spellStart"/>
      <w:r w:rsidR="00D56197">
        <w:rPr>
          <w:rFonts w:ascii="Times New Roman" w:hAnsi="Times New Roman" w:cs="Times New Roman"/>
          <w:sz w:val="24"/>
          <w:szCs w:val="24"/>
        </w:rPr>
        <w:t>Turck</w:t>
      </w:r>
      <w:proofErr w:type="spellEnd"/>
      <w:r w:rsidR="00D56197">
        <w:rPr>
          <w:rFonts w:ascii="Times New Roman" w:hAnsi="Times New Roman" w:cs="Times New Roman"/>
          <w:sz w:val="24"/>
          <w:szCs w:val="24"/>
        </w:rPr>
        <w:t xml:space="preserve">, </w:t>
      </w:r>
      <w:proofErr w:type="spellStart"/>
      <w:r w:rsidR="00D56197">
        <w:rPr>
          <w:rFonts w:ascii="Times New Roman" w:hAnsi="Times New Roman" w:cs="Times New Roman"/>
          <w:sz w:val="24"/>
          <w:szCs w:val="24"/>
        </w:rPr>
        <w:t>Hainard</w:t>
      </w:r>
      <w:proofErr w:type="spellEnd"/>
      <w:r w:rsidR="00D56197">
        <w:rPr>
          <w:rFonts w:ascii="Times New Roman" w:hAnsi="Times New Roman" w:cs="Times New Roman"/>
          <w:sz w:val="24"/>
          <w:szCs w:val="24"/>
        </w:rPr>
        <w:t xml:space="preserve">, </w:t>
      </w:r>
      <w:proofErr w:type="spellStart"/>
      <w:r w:rsidR="00D56197">
        <w:rPr>
          <w:rFonts w:ascii="Times New Roman" w:hAnsi="Times New Roman" w:cs="Times New Roman"/>
          <w:sz w:val="24"/>
          <w:szCs w:val="24"/>
        </w:rPr>
        <w:t>Tiberti</w:t>
      </w:r>
      <w:proofErr w:type="spellEnd"/>
      <w:r w:rsidR="00D56197">
        <w:rPr>
          <w:rFonts w:ascii="Times New Roman" w:hAnsi="Times New Roman" w:cs="Times New Roman"/>
          <w:sz w:val="24"/>
          <w:szCs w:val="24"/>
        </w:rPr>
        <w:t xml:space="preserve">, </w:t>
      </w:r>
      <w:proofErr w:type="spellStart"/>
      <w:r w:rsidR="00D56197">
        <w:rPr>
          <w:rFonts w:ascii="Times New Roman" w:hAnsi="Times New Roman" w:cs="Times New Roman"/>
          <w:sz w:val="24"/>
          <w:szCs w:val="24"/>
        </w:rPr>
        <w:t>Lisacek</w:t>
      </w:r>
      <w:proofErr w:type="spellEnd"/>
      <w:r w:rsidR="00D56197">
        <w:rPr>
          <w:rFonts w:ascii="Times New Roman" w:hAnsi="Times New Roman" w:cs="Times New Roman"/>
          <w:sz w:val="24"/>
          <w:szCs w:val="24"/>
        </w:rPr>
        <w:t xml:space="preserve"> y </w:t>
      </w:r>
      <w:proofErr w:type="spellStart"/>
      <w:r w:rsidR="00D56197">
        <w:rPr>
          <w:rFonts w:ascii="Times New Roman" w:hAnsi="Times New Roman" w:cs="Times New Roman"/>
          <w:sz w:val="24"/>
          <w:szCs w:val="24"/>
        </w:rPr>
        <w:t>Sanchez</w:t>
      </w:r>
      <w:proofErr w:type="spellEnd"/>
      <w:r w:rsidR="00D56197">
        <w:rPr>
          <w:rFonts w:ascii="Times New Roman" w:hAnsi="Times New Roman" w:cs="Times New Roman"/>
          <w:sz w:val="24"/>
          <w:szCs w:val="24"/>
        </w:rPr>
        <w:t>, 2011</w:t>
      </w:r>
      <w:r w:rsidRPr="00526A27">
        <w:rPr>
          <w:rFonts w:ascii="Times New Roman" w:hAnsi="Times New Roman" w:cs="Times New Roman"/>
          <w:sz w:val="24"/>
          <w:szCs w:val="24"/>
        </w:rPr>
        <w:t>). El análisis factorial confirmatorio fue realizado en el software estadístico MPlus.v7 (</w:t>
      </w:r>
      <w:proofErr w:type="spellStart"/>
      <w:r w:rsidR="00D56197">
        <w:rPr>
          <w:rFonts w:ascii="Times New Roman" w:hAnsi="Times New Roman" w:cs="Times New Roman"/>
          <w:sz w:val="24"/>
          <w:szCs w:val="24"/>
        </w:rPr>
        <w:t>Muthén</w:t>
      </w:r>
      <w:proofErr w:type="spellEnd"/>
      <w:r w:rsidR="00D56197">
        <w:rPr>
          <w:rFonts w:ascii="Times New Roman" w:hAnsi="Times New Roman" w:cs="Times New Roman"/>
          <w:sz w:val="24"/>
          <w:szCs w:val="24"/>
        </w:rPr>
        <w:t xml:space="preserve"> y </w:t>
      </w:r>
      <w:proofErr w:type="spellStart"/>
      <w:r w:rsidR="00D56197">
        <w:rPr>
          <w:rFonts w:ascii="Times New Roman" w:hAnsi="Times New Roman" w:cs="Times New Roman"/>
          <w:sz w:val="24"/>
          <w:szCs w:val="24"/>
        </w:rPr>
        <w:t>Muthén</w:t>
      </w:r>
      <w:proofErr w:type="spellEnd"/>
      <w:r w:rsidR="00D56197">
        <w:rPr>
          <w:rFonts w:ascii="Times New Roman" w:hAnsi="Times New Roman" w:cs="Times New Roman"/>
          <w:sz w:val="24"/>
          <w:szCs w:val="24"/>
        </w:rPr>
        <w:t>, 2012</w:t>
      </w:r>
      <w:r w:rsidRPr="00526A27">
        <w:rPr>
          <w:rFonts w:ascii="Times New Roman" w:hAnsi="Times New Roman" w:cs="Times New Roman"/>
          <w:sz w:val="24"/>
          <w:szCs w:val="24"/>
        </w:rPr>
        <w:t>)</w:t>
      </w:r>
      <w:r w:rsidR="00D56197">
        <w:rPr>
          <w:rFonts w:ascii="Times New Roman" w:hAnsi="Times New Roman" w:cs="Times New Roman"/>
          <w:sz w:val="24"/>
          <w:szCs w:val="24"/>
        </w:rPr>
        <w:t>.</w:t>
      </w:r>
    </w:p>
    <w:p w14:paraId="1CFB5051" w14:textId="77777777" w:rsidR="00A61758" w:rsidRDefault="00A61758" w:rsidP="00526A27">
      <w:pPr>
        <w:spacing w:line="360" w:lineRule="auto"/>
        <w:jc w:val="both"/>
        <w:rPr>
          <w:rFonts w:ascii="Times New Roman" w:hAnsi="Times New Roman" w:cs="Times New Roman"/>
          <w:b/>
          <w:sz w:val="24"/>
          <w:szCs w:val="24"/>
        </w:rPr>
      </w:pPr>
    </w:p>
    <w:p w14:paraId="5893A668" w14:textId="22EA98F9" w:rsidR="00A72AD8" w:rsidRPr="0052103D" w:rsidRDefault="00A72AD8" w:rsidP="00526A27">
      <w:pPr>
        <w:spacing w:line="360" w:lineRule="auto"/>
        <w:jc w:val="both"/>
        <w:rPr>
          <w:rFonts w:ascii="Times New Roman" w:hAnsi="Times New Roman" w:cs="Times New Roman"/>
          <w:b/>
          <w:sz w:val="24"/>
          <w:szCs w:val="24"/>
        </w:rPr>
      </w:pPr>
      <w:r w:rsidRPr="0052103D">
        <w:rPr>
          <w:rFonts w:ascii="Times New Roman" w:hAnsi="Times New Roman" w:cs="Times New Roman"/>
          <w:b/>
          <w:sz w:val="24"/>
          <w:szCs w:val="24"/>
        </w:rPr>
        <w:t>Resultados</w:t>
      </w:r>
    </w:p>
    <w:p w14:paraId="3363BA8D" w14:textId="77777777" w:rsidR="00A72AD8" w:rsidRPr="0052103D" w:rsidRDefault="00A72AD8" w:rsidP="00526A27">
      <w:pPr>
        <w:spacing w:line="360" w:lineRule="auto"/>
        <w:jc w:val="both"/>
        <w:rPr>
          <w:rFonts w:ascii="Times New Roman" w:hAnsi="Times New Roman" w:cs="Times New Roman"/>
          <w:b/>
          <w:i/>
          <w:sz w:val="24"/>
          <w:szCs w:val="24"/>
        </w:rPr>
      </w:pPr>
      <w:r w:rsidRPr="0052103D">
        <w:rPr>
          <w:rFonts w:ascii="Times New Roman" w:hAnsi="Times New Roman" w:cs="Times New Roman"/>
          <w:b/>
          <w:i/>
          <w:sz w:val="24"/>
          <w:szCs w:val="24"/>
        </w:rPr>
        <w:t>Confiabilidad</w:t>
      </w:r>
    </w:p>
    <w:p w14:paraId="13F873BD" w14:textId="77777777" w:rsidR="00A72AD8" w:rsidRPr="00526A27" w:rsidRDefault="00A72AD8" w:rsidP="00526A27">
      <w:pPr>
        <w:spacing w:line="360" w:lineRule="auto"/>
        <w:jc w:val="both"/>
        <w:rPr>
          <w:rFonts w:ascii="Times New Roman" w:hAnsi="Times New Roman" w:cs="Times New Roman"/>
          <w:color w:val="000000" w:themeColor="text1"/>
          <w:sz w:val="24"/>
          <w:szCs w:val="24"/>
        </w:rPr>
      </w:pPr>
      <w:r w:rsidRPr="00526A27">
        <w:rPr>
          <w:rFonts w:ascii="Times New Roman" w:hAnsi="Times New Roman" w:cs="Times New Roman"/>
          <w:color w:val="000000" w:themeColor="text1"/>
          <w:sz w:val="24"/>
          <w:szCs w:val="24"/>
        </w:rPr>
        <w:lastRenderedPageBreak/>
        <w:t>Consistencia Interna</w:t>
      </w:r>
      <w:r w:rsidRPr="00526A27">
        <w:rPr>
          <w:rFonts w:ascii="Times New Roman" w:hAnsi="Times New Roman" w:cs="Times New Roman"/>
          <w:i/>
          <w:color w:val="000000" w:themeColor="text1"/>
          <w:sz w:val="24"/>
          <w:szCs w:val="24"/>
        </w:rPr>
        <w:t xml:space="preserve">. </w:t>
      </w:r>
      <w:r w:rsidRPr="00526A27">
        <w:rPr>
          <w:rFonts w:ascii="Times New Roman" w:hAnsi="Times New Roman" w:cs="Times New Roman"/>
          <w:color w:val="000000" w:themeColor="text1"/>
          <w:sz w:val="24"/>
          <w:szCs w:val="24"/>
        </w:rPr>
        <w:t xml:space="preserve">La consistencia interna del instrumento, medida a través del coeficiente alfa de Cronbach, es de .92 para la muestra total con datos completos (n=1007, 21 ítems); alcanzando valores de α=.91 en el grupo mixto usado para el AFE y de α=.92 en el grupo mixto usado en el AFC. </w:t>
      </w:r>
    </w:p>
    <w:p w14:paraId="26D5C75D" w14:textId="77777777" w:rsidR="00A13C03" w:rsidRDefault="00A13C03" w:rsidP="00526A27">
      <w:pPr>
        <w:spacing w:line="360" w:lineRule="auto"/>
        <w:jc w:val="both"/>
        <w:rPr>
          <w:rFonts w:ascii="Times New Roman" w:hAnsi="Times New Roman" w:cs="Times New Roman"/>
          <w:b/>
          <w:i/>
          <w:sz w:val="24"/>
          <w:szCs w:val="24"/>
        </w:rPr>
      </w:pPr>
    </w:p>
    <w:p w14:paraId="3510371D" w14:textId="77777777" w:rsidR="00A13C03" w:rsidRDefault="00A13C03" w:rsidP="00526A27">
      <w:pPr>
        <w:spacing w:line="360" w:lineRule="auto"/>
        <w:jc w:val="both"/>
        <w:rPr>
          <w:rFonts w:ascii="Times New Roman" w:hAnsi="Times New Roman" w:cs="Times New Roman"/>
          <w:b/>
          <w:i/>
          <w:sz w:val="24"/>
          <w:szCs w:val="24"/>
        </w:rPr>
      </w:pPr>
    </w:p>
    <w:p w14:paraId="3D7CDC32" w14:textId="724DFDD8" w:rsidR="00A72AD8" w:rsidRPr="0052103D" w:rsidRDefault="00A72AD8" w:rsidP="00526A27">
      <w:pPr>
        <w:spacing w:line="360" w:lineRule="auto"/>
        <w:jc w:val="both"/>
        <w:rPr>
          <w:rFonts w:ascii="Times New Roman" w:hAnsi="Times New Roman" w:cs="Times New Roman"/>
          <w:b/>
          <w:i/>
          <w:sz w:val="24"/>
          <w:szCs w:val="24"/>
        </w:rPr>
      </w:pPr>
      <w:r w:rsidRPr="0052103D">
        <w:rPr>
          <w:rFonts w:ascii="Times New Roman" w:hAnsi="Times New Roman" w:cs="Times New Roman"/>
          <w:b/>
          <w:i/>
          <w:sz w:val="24"/>
          <w:szCs w:val="24"/>
        </w:rPr>
        <w:t>Validez</w:t>
      </w:r>
    </w:p>
    <w:p w14:paraId="7A184F64" w14:textId="062398D7" w:rsidR="00A72AD8" w:rsidRPr="00526A27" w:rsidRDefault="00A72AD8" w:rsidP="00526A27">
      <w:pPr>
        <w:spacing w:line="360" w:lineRule="auto"/>
        <w:jc w:val="both"/>
        <w:rPr>
          <w:rFonts w:ascii="Times New Roman" w:hAnsi="Times New Roman" w:cs="Times New Roman"/>
          <w:sz w:val="24"/>
          <w:szCs w:val="24"/>
        </w:rPr>
      </w:pPr>
      <w:r w:rsidRPr="00526A27">
        <w:rPr>
          <w:rFonts w:ascii="Times New Roman" w:hAnsi="Times New Roman" w:cs="Times New Roman"/>
          <w:sz w:val="24"/>
          <w:szCs w:val="24"/>
        </w:rPr>
        <w:t>Análisis Factorial Exploratorio</w:t>
      </w:r>
      <w:r w:rsidRPr="00526A27">
        <w:rPr>
          <w:rFonts w:ascii="Times New Roman" w:hAnsi="Times New Roman" w:cs="Times New Roman"/>
          <w:i/>
          <w:sz w:val="24"/>
          <w:szCs w:val="24"/>
        </w:rPr>
        <w:t xml:space="preserve">. </w:t>
      </w:r>
      <w:r w:rsidRPr="00526A27">
        <w:rPr>
          <w:rFonts w:ascii="Times New Roman" w:hAnsi="Times New Roman" w:cs="Times New Roman"/>
          <w:sz w:val="24"/>
          <w:szCs w:val="24"/>
        </w:rPr>
        <w:t xml:space="preserve">Se realizó un AFE extrayendo un solo factor de acuerdo a lo arrojado por el Test MAP de </w:t>
      </w:r>
      <w:proofErr w:type="spellStart"/>
      <w:r w:rsidRPr="00526A27">
        <w:rPr>
          <w:rFonts w:ascii="Times New Roman" w:hAnsi="Times New Roman" w:cs="Times New Roman"/>
          <w:sz w:val="24"/>
          <w:szCs w:val="24"/>
        </w:rPr>
        <w:t>Velicer</w:t>
      </w:r>
      <w:proofErr w:type="spellEnd"/>
      <w:r w:rsidRPr="00526A27">
        <w:rPr>
          <w:rFonts w:ascii="Times New Roman" w:hAnsi="Times New Roman" w:cs="Times New Roman"/>
          <w:sz w:val="24"/>
          <w:szCs w:val="24"/>
        </w:rPr>
        <w:t xml:space="preserve"> (</w:t>
      </w:r>
      <w:r w:rsidR="00D56197">
        <w:rPr>
          <w:rFonts w:ascii="Times New Roman" w:hAnsi="Times New Roman" w:cs="Times New Roman"/>
          <w:sz w:val="24"/>
          <w:szCs w:val="24"/>
        </w:rPr>
        <w:t>O’Connor, 2000</w:t>
      </w:r>
      <w:r w:rsidRPr="00526A27">
        <w:rPr>
          <w:rFonts w:ascii="Times New Roman" w:hAnsi="Times New Roman" w:cs="Times New Roman"/>
          <w:sz w:val="24"/>
          <w:szCs w:val="24"/>
        </w:rPr>
        <w:t xml:space="preserve">). En la Figura </w:t>
      </w:r>
      <w:r w:rsidR="00A61758">
        <w:rPr>
          <w:rFonts w:ascii="Times New Roman" w:hAnsi="Times New Roman" w:cs="Times New Roman"/>
          <w:sz w:val="24"/>
          <w:szCs w:val="24"/>
        </w:rPr>
        <w:t>2.</w:t>
      </w:r>
      <w:r w:rsidRPr="00526A27">
        <w:rPr>
          <w:rFonts w:ascii="Times New Roman" w:hAnsi="Times New Roman" w:cs="Times New Roman"/>
          <w:sz w:val="24"/>
          <w:szCs w:val="24"/>
        </w:rPr>
        <w:t xml:space="preserve">1 se presenta un gráfico de sedimentación que apoya la elección de la solución de un solo factor. La varianza explicada por el modelo de un factor es de </w:t>
      </w:r>
      <w:r w:rsidRPr="00526A27">
        <w:rPr>
          <w:rFonts w:ascii="Times New Roman" w:hAnsi="Times New Roman" w:cs="Times New Roman"/>
          <w:color w:val="000000" w:themeColor="text1"/>
          <w:sz w:val="24"/>
          <w:szCs w:val="24"/>
        </w:rPr>
        <w:t xml:space="preserve">un 37%. </w:t>
      </w:r>
      <w:r w:rsidRPr="00526A27">
        <w:rPr>
          <w:rFonts w:ascii="Times New Roman" w:hAnsi="Times New Roman" w:cs="Times New Roman"/>
          <w:sz w:val="24"/>
          <w:szCs w:val="24"/>
        </w:rPr>
        <w:t xml:space="preserve">La Tabla </w:t>
      </w:r>
      <w:r w:rsidR="00A61758">
        <w:rPr>
          <w:rFonts w:ascii="Times New Roman" w:hAnsi="Times New Roman" w:cs="Times New Roman"/>
          <w:sz w:val="24"/>
          <w:szCs w:val="24"/>
        </w:rPr>
        <w:t>2.</w:t>
      </w:r>
      <w:r w:rsidRPr="00526A27">
        <w:rPr>
          <w:rFonts w:ascii="Times New Roman" w:hAnsi="Times New Roman" w:cs="Times New Roman"/>
          <w:sz w:val="24"/>
          <w:szCs w:val="24"/>
        </w:rPr>
        <w:t xml:space="preserve">2 presenta la matriz de cargas factoriales, donde se observa que prácticamente la totalidad de los ítems presentan cargas factoriales superiores a 0,3; valor que de acuerdo a la literatura se considera suficiente para indicar la pertenencia significativa a dicho factor </w:t>
      </w:r>
      <w:r w:rsidR="00D56197">
        <w:rPr>
          <w:rFonts w:ascii="Times New Roman" w:hAnsi="Times New Roman" w:cs="Times New Roman"/>
          <w:sz w:val="24"/>
          <w:szCs w:val="24"/>
        </w:rPr>
        <w:t>(Stevens, 2002</w:t>
      </w:r>
      <w:r w:rsidRPr="00526A27">
        <w:rPr>
          <w:rFonts w:ascii="Times New Roman" w:hAnsi="Times New Roman" w:cs="Times New Roman"/>
          <w:sz w:val="24"/>
          <w:szCs w:val="24"/>
        </w:rPr>
        <w:t xml:space="preserve">). Sólo el ítem S (“Pérdida de peso”) presenta valores por debajo de lo adecuado (.20), desviándose del patrón antes mencionado. </w:t>
      </w:r>
    </w:p>
    <w:p w14:paraId="295F58A5" w14:textId="383A84D1" w:rsidR="00A13C03" w:rsidRPr="00A13C03" w:rsidRDefault="00A13C03" w:rsidP="00A13C03">
      <w:pPr>
        <w:spacing w:line="360" w:lineRule="auto"/>
        <w:contextualSpacing/>
        <w:rPr>
          <w:rFonts w:ascii="Times New Roman" w:hAnsi="Times New Roman" w:cs="Times New Roman"/>
          <w:sz w:val="20"/>
          <w:szCs w:val="20"/>
        </w:rPr>
      </w:pPr>
      <w:r w:rsidRPr="00A13C03">
        <w:rPr>
          <w:rFonts w:ascii="Times New Roman" w:hAnsi="Times New Roman" w:cs="Times New Roman"/>
          <w:b/>
          <w:sz w:val="20"/>
          <w:szCs w:val="20"/>
        </w:rPr>
        <w:t xml:space="preserve">Figura </w:t>
      </w:r>
      <w:r>
        <w:rPr>
          <w:rFonts w:ascii="Times New Roman" w:hAnsi="Times New Roman" w:cs="Times New Roman"/>
          <w:b/>
          <w:sz w:val="20"/>
          <w:szCs w:val="20"/>
        </w:rPr>
        <w:t>2.</w:t>
      </w:r>
      <w:r w:rsidRPr="00A13C03">
        <w:rPr>
          <w:rFonts w:ascii="Times New Roman" w:hAnsi="Times New Roman" w:cs="Times New Roman"/>
          <w:b/>
          <w:sz w:val="20"/>
          <w:szCs w:val="20"/>
        </w:rPr>
        <w:t>1.</w:t>
      </w:r>
      <w:r w:rsidRPr="00A13C03">
        <w:rPr>
          <w:rFonts w:ascii="Times New Roman" w:hAnsi="Times New Roman" w:cs="Times New Roman"/>
          <w:sz w:val="20"/>
          <w:szCs w:val="20"/>
        </w:rPr>
        <w:t xml:space="preserve"> Gráfico de sedimentación del Análisis Factorial Exploratorio</w:t>
      </w:r>
    </w:p>
    <w:p w14:paraId="11AA9861" w14:textId="09B44172" w:rsidR="00A72AD8" w:rsidRPr="00526A27" w:rsidRDefault="00A13C03" w:rsidP="00A13C03">
      <w:pPr>
        <w:spacing w:line="360" w:lineRule="auto"/>
        <w:rPr>
          <w:rFonts w:ascii="Times New Roman" w:hAnsi="Times New Roman" w:cs="Times New Roman"/>
          <w:sz w:val="24"/>
          <w:szCs w:val="24"/>
        </w:rPr>
      </w:pPr>
      <w:r>
        <w:rPr>
          <w:noProof/>
        </w:rPr>
        <w:lastRenderedPageBreak/>
        <w:drawing>
          <wp:anchor distT="0" distB="0" distL="0" distR="0" simplePos="0" relativeHeight="251658240" behindDoc="0" locked="0" layoutInCell="1" allowOverlap="1" wp14:anchorId="34203B89" wp14:editId="3F5E7311">
            <wp:simplePos x="0" y="0"/>
            <wp:positionH relativeFrom="column">
              <wp:align>center</wp:align>
            </wp:positionH>
            <wp:positionV relativeFrom="paragraph">
              <wp:posOffset>635</wp:posOffset>
            </wp:positionV>
            <wp:extent cx="5612130" cy="3933190"/>
            <wp:effectExtent l="0" t="0" r="7620" b="0"/>
            <wp:wrapSquare wrapText="largest"/>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612130" cy="3933190"/>
                    </a:xfrm>
                    <a:prstGeom prst="rect">
                      <a:avLst/>
                    </a:prstGeom>
                    <a:noFill/>
                  </pic:spPr>
                </pic:pic>
              </a:graphicData>
            </a:graphic>
            <wp14:sizeRelH relativeFrom="page">
              <wp14:pctWidth>0</wp14:pctWidth>
            </wp14:sizeRelH>
            <wp14:sizeRelV relativeFrom="page">
              <wp14:pctHeight>0</wp14:pctHeight>
            </wp14:sizeRelV>
          </wp:anchor>
        </w:drawing>
      </w:r>
    </w:p>
    <w:p w14:paraId="58A48E30" w14:textId="782AC893" w:rsidR="00A72AD8" w:rsidRPr="00526A27" w:rsidRDefault="00A72AD8" w:rsidP="00526A27">
      <w:pPr>
        <w:spacing w:line="360" w:lineRule="auto"/>
        <w:jc w:val="both"/>
        <w:rPr>
          <w:rFonts w:ascii="Times New Roman" w:hAnsi="Times New Roman" w:cs="Times New Roman"/>
          <w:sz w:val="24"/>
          <w:szCs w:val="24"/>
        </w:rPr>
      </w:pPr>
      <w:r w:rsidRPr="00526A27">
        <w:rPr>
          <w:rFonts w:ascii="Times New Roman" w:hAnsi="Times New Roman" w:cs="Times New Roman"/>
          <w:sz w:val="24"/>
          <w:szCs w:val="24"/>
        </w:rPr>
        <w:t>Análisis Factorial Confirmatorio</w:t>
      </w:r>
      <w:r w:rsidRPr="00526A27">
        <w:rPr>
          <w:rFonts w:ascii="Times New Roman" w:hAnsi="Times New Roman" w:cs="Times New Roman"/>
          <w:i/>
          <w:sz w:val="24"/>
          <w:szCs w:val="24"/>
        </w:rPr>
        <w:t xml:space="preserve">. </w:t>
      </w:r>
      <w:r w:rsidRPr="00526A27">
        <w:rPr>
          <w:rFonts w:ascii="Times New Roman" w:hAnsi="Times New Roman" w:cs="Times New Roman"/>
          <w:sz w:val="24"/>
          <w:szCs w:val="24"/>
        </w:rPr>
        <w:t xml:space="preserve">Se realizó un AFC con el fin de confirmar la estructura de un factor del instrumento. El modelo presentó índices de ajuste buenos, dando cuenta de la estructura </w:t>
      </w:r>
      <w:proofErr w:type="spellStart"/>
      <w:r w:rsidRPr="00526A27">
        <w:rPr>
          <w:rFonts w:ascii="Times New Roman" w:hAnsi="Times New Roman" w:cs="Times New Roman"/>
          <w:sz w:val="24"/>
          <w:szCs w:val="24"/>
        </w:rPr>
        <w:t>unifactorial</w:t>
      </w:r>
      <w:proofErr w:type="spellEnd"/>
      <w:r w:rsidRPr="00526A27">
        <w:rPr>
          <w:rFonts w:ascii="Times New Roman" w:hAnsi="Times New Roman" w:cs="Times New Roman"/>
          <w:sz w:val="24"/>
          <w:szCs w:val="24"/>
        </w:rPr>
        <w:t xml:space="preserve"> del instrumento (χ</w:t>
      </w:r>
      <w:r w:rsidRPr="00526A27">
        <w:rPr>
          <w:rFonts w:ascii="Times New Roman" w:hAnsi="Times New Roman" w:cs="Times New Roman"/>
          <w:sz w:val="24"/>
          <w:szCs w:val="24"/>
          <w:vertAlign w:val="superscript"/>
        </w:rPr>
        <w:t>2</w:t>
      </w:r>
      <w:r w:rsidRPr="00526A27">
        <w:rPr>
          <w:rFonts w:ascii="Times New Roman" w:hAnsi="Times New Roman" w:cs="Times New Roman"/>
          <w:sz w:val="24"/>
          <w:szCs w:val="24"/>
        </w:rPr>
        <w:t xml:space="preserve"> (189, </w:t>
      </w:r>
      <w:r w:rsidRPr="00526A27">
        <w:rPr>
          <w:rFonts w:ascii="Times New Roman" w:hAnsi="Times New Roman" w:cs="Times New Roman"/>
          <w:i/>
          <w:sz w:val="24"/>
          <w:szCs w:val="24"/>
        </w:rPr>
        <w:t>N=569</w:t>
      </w:r>
      <w:proofErr w:type="gramStart"/>
      <w:r w:rsidRPr="00526A27">
        <w:rPr>
          <w:rFonts w:ascii="Times New Roman" w:hAnsi="Times New Roman" w:cs="Times New Roman"/>
          <w:sz w:val="24"/>
          <w:szCs w:val="24"/>
        </w:rPr>
        <w:t>)</w:t>
      </w:r>
      <w:r w:rsidR="00A61758">
        <w:rPr>
          <w:rFonts w:ascii="Times New Roman" w:hAnsi="Times New Roman" w:cs="Times New Roman"/>
          <w:sz w:val="24"/>
          <w:szCs w:val="24"/>
        </w:rPr>
        <w:t xml:space="preserve">  </w:t>
      </w:r>
      <w:r w:rsidRPr="00526A27">
        <w:rPr>
          <w:rFonts w:ascii="Times New Roman" w:hAnsi="Times New Roman" w:cs="Times New Roman"/>
          <w:sz w:val="24"/>
          <w:szCs w:val="24"/>
        </w:rPr>
        <w:t>=</w:t>
      </w:r>
      <w:proofErr w:type="gramEnd"/>
      <w:r w:rsidRPr="00526A27">
        <w:rPr>
          <w:rFonts w:ascii="Times New Roman" w:hAnsi="Times New Roman" w:cs="Times New Roman"/>
          <w:sz w:val="24"/>
          <w:szCs w:val="24"/>
        </w:rPr>
        <w:t xml:space="preserve"> 463.53, </w:t>
      </w:r>
      <w:r w:rsidRPr="00526A27">
        <w:rPr>
          <w:rFonts w:ascii="Times New Roman" w:hAnsi="Times New Roman" w:cs="Times New Roman"/>
          <w:i/>
          <w:sz w:val="24"/>
          <w:szCs w:val="24"/>
        </w:rPr>
        <w:t>p</w:t>
      </w:r>
      <w:r w:rsidRPr="00526A27">
        <w:rPr>
          <w:rFonts w:ascii="Times New Roman" w:hAnsi="Times New Roman" w:cs="Times New Roman"/>
          <w:sz w:val="24"/>
          <w:szCs w:val="24"/>
        </w:rPr>
        <w:t xml:space="preserve">= .00, </w:t>
      </w:r>
      <w:r w:rsidRPr="00526A27">
        <w:rPr>
          <w:rFonts w:ascii="Times New Roman" w:hAnsi="Times New Roman" w:cs="Times New Roman"/>
          <w:i/>
          <w:sz w:val="24"/>
          <w:szCs w:val="24"/>
        </w:rPr>
        <w:t>RMSEA</w:t>
      </w:r>
      <w:r w:rsidRPr="00526A27">
        <w:rPr>
          <w:rFonts w:ascii="Times New Roman" w:hAnsi="Times New Roman" w:cs="Times New Roman"/>
          <w:sz w:val="24"/>
          <w:szCs w:val="24"/>
        </w:rPr>
        <w:t xml:space="preserve">= .051, </w:t>
      </w:r>
      <w:r w:rsidRPr="00526A27">
        <w:rPr>
          <w:rFonts w:ascii="Times New Roman" w:hAnsi="Times New Roman" w:cs="Times New Roman"/>
          <w:i/>
          <w:sz w:val="24"/>
          <w:szCs w:val="24"/>
        </w:rPr>
        <w:t>CFI</w:t>
      </w:r>
      <w:r w:rsidRPr="00526A27">
        <w:rPr>
          <w:rFonts w:ascii="Times New Roman" w:hAnsi="Times New Roman" w:cs="Times New Roman"/>
          <w:sz w:val="24"/>
          <w:szCs w:val="24"/>
        </w:rPr>
        <w:t xml:space="preserve">= .979). Las cargas factoriales de cada ítem se presentan en la Tabla </w:t>
      </w:r>
      <w:r w:rsidR="00A13C03">
        <w:rPr>
          <w:rFonts w:ascii="Times New Roman" w:hAnsi="Times New Roman" w:cs="Times New Roman"/>
          <w:sz w:val="24"/>
          <w:szCs w:val="24"/>
        </w:rPr>
        <w:t>2.</w:t>
      </w:r>
      <w:r w:rsidRPr="00526A27">
        <w:rPr>
          <w:rFonts w:ascii="Times New Roman" w:hAnsi="Times New Roman" w:cs="Times New Roman"/>
          <w:sz w:val="24"/>
          <w:szCs w:val="24"/>
        </w:rPr>
        <w:t xml:space="preserve">2. </w:t>
      </w:r>
    </w:p>
    <w:p w14:paraId="3BEFB62F" w14:textId="77777777" w:rsidR="00A72AD8" w:rsidRPr="00526A27" w:rsidRDefault="00A72AD8" w:rsidP="00526A27">
      <w:pPr>
        <w:spacing w:line="360" w:lineRule="auto"/>
        <w:jc w:val="both"/>
        <w:rPr>
          <w:rFonts w:ascii="Times New Roman" w:hAnsi="Times New Roman" w:cs="Times New Roman"/>
          <w:sz w:val="24"/>
          <w:szCs w:val="24"/>
        </w:rPr>
      </w:pPr>
      <w:r w:rsidRPr="00526A27">
        <w:rPr>
          <w:rFonts w:ascii="Times New Roman" w:hAnsi="Times New Roman" w:cs="Times New Roman"/>
          <w:sz w:val="24"/>
          <w:szCs w:val="24"/>
        </w:rPr>
        <w:t>Adicionalmente, se calculó la invarianza del modelo al considerar separadamente ambos sexos. Se encontró una diferencia de chi-cuadrado no significativa (</w:t>
      </w:r>
      <w:r w:rsidRPr="00526A27">
        <w:rPr>
          <w:rFonts w:ascii="Times New Roman" w:eastAsia="Ubuntu" w:hAnsi="Times New Roman" w:cs="Times New Roman"/>
          <w:sz w:val="24"/>
          <w:szCs w:val="24"/>
        </w:rPr>
        <w:t>∆χ</w:t>
      </w:r>
      <w:r w:rsidRPr="00526A27">
        <w:rPr>
          <w:rFonts w:ascii="Times New Roman" w:eastAsia="Calibri" w:hAnsi="Times New Roman" w:cs="Times New Roman"/>
          <w:sz w:val="24"/>
          <w:szCs w:val="24"/>
          <w:vertAlign w:val="superscript"/>
        </w:rPr>
        <w:t>2</w:t>
      </w:r>
      <w:r w:rsidRPr="00526A27">
        <w:rPr>
          <w:rFonts w:ascii="Times New Roman" w:eastAsia="Calibri" w:hAnsi="Times New Roman" w:cs="Times New Roman"/>
          <w:sz w:val="24"/>
          <w:szCs w:val="24"/>
        </w:rPr>
        <w:t xml:space="preserve">= 25.37, </w:t>
      </w:r>
      <w:proofErr w:type="spellStart"/>
      <w:proofErr w:type="gramStart"/>
      <w:r w:rsidRPr="00526A27">
        <w:rPr>
          <w:rFonts w:ascii="Times New Roman" w:eastAsia="Calibri" w:hAnsi="Times New Roman" w:cs="Times New Roman"/>
          <w:i/>
          <w:sz w:val="24"/>
          <w:szCs w:val="24"/>
        </w:rPr>
        <w:t>gl</w:t>
      </w:r>
      <w:proofErr w:type="spellEnd"/>
      <w:r w:rsidRPr="00526A27">
        <w:rPr>
          <w:rFonts w:ascii="Times New Roman" w:eastAsia="Calibri" w:hAnsi="Times New Roman" w:cs="Times New Roman"/>
          <w:i/>
          <w:sz w:val="24"/>
          <w:szCs w:val="24"/>
        </w:rPr>
        <w:t>.</w:t>
      </w:r>
      <w:r w:rsidRPr="00526A27">
        <w:rPr>
          <w:rFonts w:ascii="Times New Roman" w:eastAsia="Calibri" w:hAnsi="Times New Roman" w:cs="Times New Roman"/>
          <w:sz w:val="24"/>
          <w:szCs w:val="24"/>
        </w:rPr>
        <w:t>=</w:t>
      </w:r>
      <w:proofErr w:type="gramEnd"/>
      <w:r w:rsidRPr="00526A27">
        <w:rPr>
          <w:rFonts w:ascii="Times New Roman" w:eastAsia="Calibri" w:hAnsi="Times New Roman" w:cs="Times New Roman"/>
          <w:sz w:val="24"/>
          <w:szCs w:val="24"/>
        </w:rPr>
        <w:t xml:space="preserve"> 20, </w:t>
      </w:r>
      <w:r w:rsidRPr="00526A27">
        <w:rPr>
          <w:rFonts w:ascii="Times New Roman" w:eastAsia="Calibri" w:hAnsi="Times New Roman" w:cs="Times New Roman"/>
          <w:i/>
          <w:sz w:val="24"/>
          <w:szCs w:val="24"/>
        </w:rPr>
        <w:t>p</w:t>
      </w:r>
      <w:r w:rsidRPr="00526A27">
        <w:rPr>
          <w:rFonts w:ascii="Times New Roman" w:eastAsia="Calibri" w:hAnsi="Times New Roman" w:cs="Times New Roman"/>
          <w:sz w:val="24"/>
          <w:szCs w:val="24"/>
        </w:rPr>
        <w:t xml:space="preserve">= .19), lo que indicaría que no se encuentran diferencias en la estructura factorial entre hombres y mujeres.  </w:t>
      </w:r>
    </w:p>
    <w:p w14:paraId="3364A483" w14:textId="12DB6601" w:rsidR="00A13C03" w:rsidRPr="00A13C03" w:rsidRDefault="00A13C03" w:rsidP="00A13C03">
      <w:pPr>
        <w:spacing w:line="240" w:lineRule="auto"/>
        <w:contextualSpacing/>
        <w:rPr>
          <w:rFonts w:ascii="Times New Roman" w:hAnsi="Times New Roman" w:cs="Times New Roman"/>
          <w:sz w:val="20"/>
          <w:szCs w:val="20"/>
        </w:rPr>
      </w:pPr>
      <w:r w:rsidRPr="00A13C03">
        <w:rPr>
          <w:rFonts w:ascii="Times New Roman" w:hAnsi="Times New Roman" w:cs="Times New Roman"/>
          <w:b/>
          <w:sz w:val="20"/>
          <w:szCs w:val="20"/>
        </w:rPr>
        <w:t xml:space="preserve">Tabla 2.2. </w:t>
      </w:r>
      <w:r w:rsidRPr="00A13C03">
        <w:rPr>
          <w:rFonts w:ascii="Times New Roman" w:hAnsi="Times New Roman" w:cs="Times New Roman"/>
          <w:sz w:val="20"/>
          <w:szCs w:val="20"/>
        </w:rPr>
        <w:t xml:space="preserve">Cargas Factoriales de la Solución </w:t>
      </w:r>
      <w:proofErr w:type="spellStart"/>
      <w:r w:rsidRPr="00A13C03">
        <w:rPr>
          <w:rFonts w:ascii="Times New Roman" w:hAnsi="Times New Roman" w:cs="Times New Roman"/>
          <w:sz w:val="20"/>
          <w:szCs w:val="20"/>
        </w:rPr>
        <w:t>Uni-factorial</w:t>
      </w:r>
      <w:proofErr w:type="spellEnd"/>
      <w:r w:rsidRPr="00A13C03">
        <w:rPr>
          <w:rFonts w:ascii="Times New Roman" w:hAnsi="Times New Roman" w:cs="Times New Roman"/>
          <w:sz w:val="20"/>
          <w:szCs w:val="20"/>
        </w:rPr>
        <w:t xml:space="preserve"> de los Ítems del BDI-IA, según el Análisis Factorial Exploratorio y Análisis Factorial Confirmatorio</w:t>
      </w:r>
    </w:p>
    <w:tbl>
      <w:tblPr>
        <w:tblStyle w:val="Tablaconcuadrcula"/>
        <w:tblW w:w="5000" w:type="pct"/>
        <w:tblInd w:w="0" w:type="dxa"/>
        <w:tblLook w:val="04A0" w:firstRow="1" w:lastRow="0" w:firstColumn="1" w:lastColumn="0" w:noHBand="0" w:noVBand="1"/>
      </w:tblPr>
      <w:tblGrid>
        <w:gridCol w:w="3550"/>
        <w:gridCol w:w="2640"/>
        <w:gridCol w:w="2648"/>
      </w:tblGrid>
      <w:tr w:rsidR="00A13C03" w14:paraId="6DA4EEFA" w14:textId="77777777" w:rsidTr="00A13C03">
        <w:tc>
          <w:tcPr>
            <w:tcW w:w="3652" w:type="dxa"/>
            <w:tcBorders>
              <w:top w:val="single" w:sz="4" w:space="0" w:color="auto"/>
              <w:left w:val="nil"/>
              <w:bottom w:val="single" w:sz="4" w:space="0" w:color="auto"/>
              <w:right w:val="nil"/>
            </w:tcBorders>
            <w:vAlign w:val="center"/>
            <w:hideMark/>
          </w:tcPr>
          <w:p w14:paraId="3707FFFF" w14:textId="77777777" w:rsidR="00A13C03" w:rsidRPr="00A13C03" w:rsidRDefault="00A13C03">
            <w:pPr>
              <w:spacing w:line="360" w:lineRule="auto"/>
              <w:rPr>
                <w:rFonts w:ascii="Times New Roman" w:hAnsi="Times New Roman" w:cs="Times New Roman"/>
                <w:sz w:val="24"/>
                <w:szCs w:val="24"/>
              </w:rPr>
            </w:pPr>
            <w:r w:rsidRPr="00A13C03">
              <w:rPr>
                <w:rFonts w:ascii="Times New Roman" w:hAnsi="Times New Roman" w:cs="Times New Roman"/>
                <w:sz w:val="24"/>
                <w:szCs w:val="24"/>
              </w:rPr>
              <w:t>Ítem</w:t>
            </w:r>
          </w:p>
        </w:tc>
        <w:tc>
          <w:tcPr>
            <w:tcW w:w="2701" w:type="dxa"/>
            <w:tcBorders>
              <w:top w:val="single" w:sz="4" w:space="0" w:color="auto"/>
              <w:left w:val="nil"/>
              <w:bottom w:val="single" w:sz="4" w:space="0" w:color="auto"/>
              <w:right w:val="nil"/>
            </w:tcBorders>
            <w:vAlign w:val="center"/>
            <w:hideMark/>
          </w:tcPr>
          <w:p w14:paraId="48F49B46" w14:textId="77777777" w:rsidR="00A13C03" w:rsidRPr="00A13C03" w:rsidRDefault="00A13C03">
            <w:pPr>
              <w:spacing w:line="360" w:lineRule="auto"/>
              <w:jc w:val="center"/>
              <w:rPr>
                <w:rFonts w:ascii="Times New Roman" w:hAnsi="Times New Roman" w:cs="Times New Roman"/>
                <w:sz w:val="24"/>
                <w:szCs w:val="24"/>
              </w:rPr>
            </w:pPr>
            <w:r w:rsidRPr="00A13C03">
              <w:rPr>
                <w:rFonts w:ascii="Times New Roman" w:hAnsi="Times New Roman" w:cs="Times New Roman"/>
                <w:sz w:val="24"/>
                <w:szCs w:val="24"/>
              </w:rPr>
              <w:t>Análisis Factorial Exploratorio</w:t>
            </w:r>
          </w:p>
        </w:tc>
        <w:tc>
          <w:tcPr>
            <w:tcW w:w="2701" w:type="dxa"/>
            <w:tcBorders>
              <w:top w:val="single" w:sz="4" w:space="0" w:color="auto"/>
              <w:left w:val="nil"/>
              <w:bottom w:val="single" w:sz="4" w:space="0" w:color="auto"/>
              <w:right w:val="nil"/>
            </w:tcBorders>
            <w:vAlign w:val="center"/>
            <w:hideMark/>
          </w:tcPr>
          <w:p w14:paraId="6AF5AAC3" w14:textId="77777777" w:rsidR="00A13C03" w:rsidRPr="00A13C03" w:rsidRDefault="00A13C03">
            <w:pPr>
              <w:spacing w:line="360" w:lineRule="auto"/>
              <w:ind w:right="-59"/>
              <w:jc w:val="center"/>
              <w:rPr>
                <w:rFonts w:ascii="Times New Roman" w:hAnsi="Times New Roman" w:cs="Times New Roman"/>
                <w:sz w:val="24"/>
                <w:szCs w:val="24"/>
              </w:rPr>
            </w:pPr>
            <w:r w:rsidRPr="00A13C03">
              <w:rPr>
                <w:rFonts w:ascii="Times New Roman" w:hAnsi="Times New Roman" w:cs="Times New Roman"/>
                <w:sz w:val="24"/>
                <w:szCs w:val="24"/>
              </w:rPr>
              <w:t xml:space="preserve">Análisis Factorial Confirmatorio </w:t>
            </w:r>
            <w:r w:rsidRPr="00A13C03">
              <w:rPr>
                <w:rFonts w:ascii="Times New Roman" w:hAnsi="Times New Roman" w:cs="Times New Roman"/>
                <w:sz w:val="24"/>
                <w:szCs w:val="24"/>
                <w:vertAlign w:val="superscript"/>
              </w:rPr>
              <w:t>a</w:t>
            </w:r>
          </w:p>
        </w:tc>
      </w:tr>
      <w:tr w:rsidR="00A13C03" w14:paraId="3DA12770" w14:textId="77777777" w:rsidTr="00A13C03">
        <w:tc>
          <w:tcPr>
            <w:tcW w:w="3652" w:type="dxa"/>
            <w:tcBorders>
              <w:top w:val="single" w:sz="4" w:space="0" w:color="auto"/>
              <w:left w:val="nil"/>
              <w:bottom w:val="nil"/>
              <w:right w:val="nil"/>
            </w:tcBorders>
            <w:vAlign w:val="center"/>
            <w:hideMark/>
          </w:tcPr>
          <w:p w14:paraId="6B70DBA3" w14:textId="77777777" w:rsidR="00A13C03" w:rsidRPr="00A13C03" w:rsidRDefault="00A13C03">
            <w:pPr>
              <w:spacing w:line="360" w:lineRule="auto"/>
              <w:rPr>
                <w:rFonts w:ascii="Times New Roman" w:hAnsi="Times New Roman" w:cs="Times New Roman"/>
                <w:sz w:val="24"/>
                <w:szCs w:val="24"/>
              </w:rPr>
            </w:pPr>
            <w:r w:rsidRPr="00A13C03">
              <w:rPr>
                <w:rFonts w:ascii="Times New Roman" w:hAnsi="Times New Roman" w:cs="Times New Roman"/>
                <w:sz w:val="24"/>
                <w:szCs w:val="24"/>
              </w:rPr>
              <w:t xml:space="preserve"> A: Tristeza</w:t>
            </w:r>
          </w:p>
        </w:tc>
        <w:tc>
          <w:tcPr>
            <w:tcW w:w="2701" w:type="dxa"/>
            <w:tcBorders>
              <w:top w:val="single" w:sz="4" w:space="0" w:color="auto"/>
              <w:left w:val="nil"/>
              <w:bottom w:val="nil"/>
              <w:right w:val="nil"/>
            </w:tcBorders>
            <w:vAlign w:val="center"/>
            <w:hideMark/>
          </w:tcPr>
          <w:p w14:paraId="63A6EEEE" w14:textId="77777777" w:rsidR="00A13C03" w:rsidRPr="00A13C03" w:rsidRDefault="00A13C03">
            <w:pPr>
              <w:spacing w:line="360" w:lineRule="auto"/>
              <w:jc w:val="center"/>
              <w:rPr>
                <w:rFonts w:ascii="Times New Roman" w:hAnsi="Times New Roman" w:cs="Times New Roman"/>
                <w:sz w:val="24"/>
                <w:szCs w:val="24"/>
              </w:rPr>
            </w:pPr>
            <w:r w:rsidRPr="00A13C03">
              <w:rPr>
                <w:rFonts w:ascii="Times New Roman" w:hAnsi="Times New Roman" w:cs="Times New Roman"/>
                <w:sz w:val="24"/>
                <w:szCs w:val="24"/>
              </w:rPr>
              <w:t>0,76</w:t>
            </w:r>
          </w:p>
        </w:tc>
        <w:tc>
          <w:tcPr>
            <w:tcW w:w="2701" w:type="dxa"/>
            <w:tcBorders>
              <w:top w:val="single" w:sz="4" w:space="0" w:color="auto"/>
              <w:left w:val="nil"/>
              <w:bottom w:val="nil"/>
              <w:right w:val="nil"/>
            </w:tcBorders>
            <w:vAlign w:val="center"/>
            <w:hideMark/>
          </w:tcPr>
          <w:p w14:paraId="1628FDE6" w14:textId="77777777" w:rsidR="00A13C03" w:rsidRPr="00A13C03" w:rsidRDefault="00A13C03">
            <w:pPr>
              <w:spacing w:line="360" w:lineRule="auto"/>
              <w:jc w:val="center"/>
              <w:rPr>
                <w:rFonts w:ascii="Times New Roman" w:hAnsi="Times New Roman" w:cs="Times New Roman"/>
                <w:sz w:val="24"/>
                <w:szCs w:val="24"/>
              </w:rPr>
            </w:pPr>
            <w:r w:rsidRPr="00A13C03">
              <w:rPr>
                <w:rFonts w:ascii="Times New Roman" w:hAnsi="Times New Roman" w:cs="Times New Roman"/>
                <w:sz w:val="24"/>
                <w:szCs w:val="24"/>
              </w:rPr>
              <w:t>0,72</w:t>
            </w:r>
          </w:p>
        </w:tc>
      </w:tr>
      <w:tr w:rsidR="00A13C03" w14:paraId="399EC5CD" w14:textId="77777777" w:rsidTr="00A13C03">
        <w:tc>
          <w:tcPr>
            <w:tcW w:w="3652" w:type="dxa"/>
            <w:tcBorders>
              <w:top w:val="nil"/>
              <w:left w:val="nil"/>
              <w:bottom w:val="nil"/>
              <w:right w:val="nil"/>
            </w:tcBorders>
            <w:vAlign w:val="center"/>
            <w:hideMark/>
          </w:tcPr>
          <w:p w14:paraId="6A72C715" w14:textId="77777777" w:rsidR="00A13C03" w:rsidRPr="00A13C03" w:rsidRDefault="00A13C03">
            <w:pPr>
              <w:spacing w:line="360" w:lineRule="auto"/>
              <w:rPr>
                <w:rFonts w:ascii="Times New Roman" w:hAnsi="Times New Roman" w:cs="Times New Roman"/>
                <w:sz w:val="24"/>
                <w:szCs w:val="24"/>
              </w:rPr>
            </w:pPr>
            <w:r w:rsidRPr="00A13C03">
              <w:rPr>
                <w:rFonts w:ascii="Times New Roman" w:hAnsi="Times New Roman" w:cs="Times New Roman"/>
                <w:sz w:val="24"/>
                <w:szCs w:val="24"/>
              </w:rPr>
              <w:t xml:space="preserve"> B: Pesimismo</w:t>
            </w:r>
          </w:p>
        </w:tc>
        <w:tc>
          <w:tcPr>
            <w:tcW w:w="2701" w:type="dxa"/>
            <w:tcBorders>
              <w:top w:val="nil"/>
              <w:left w:val="nil"/>
              <w:bottom w:val="nil"/>
              <w:right w:val="nil"/>
            </w:tcBorders>
            <w:vAlign w:val="center"/>
            <w:hideMark/>
          </w:tcPr>
          <w:p w14:paraId="504C50D6" w14:textId="77777777" w:rsidR="00A13C03" w:rsidRPr="00A13C03" w:rsidRDefault="00A13C03">
            <w:pPr>
              <w:spacing w:line="360" w:lineRule="auto"/>
              <w:jc w:val="center"/>
              <w:rPr>
                <w:rFonts w:ascii="Times New Roman" w:hAnsi="Times New Roman" w:cs="Times New Roman"/>
                <w:sz w:val="24"/>
                <w:szCs w:val="24"/>
              </w:rPr>
            </w:pPr>
            <w:r w:rsidRPr="00A13C03">
              <w:rPr>
                <w:rFonts w:ascii="Times New Roman" w:hAnsi="Times New Roman" w:cs="Times New Roman"/>
                <w:sz w:val="24"/>
                <w:szCs w:val="24"/>
              </w:rPr>
              <w:t>0,72</w:t>
            </w:r>
          </w:p>
        </w:tc>
        <w:tc>
          <w:tcPr>
            <w:tcW w:w="2701" w:type="dxa"/>
            <w:tcBorders>
              <w:top w:val="nil"/>
              <w:left w:val="nil"/>
              <w:bottom w:val="nil"/>
              <w:right w:val="nil"/>
            </w:tcBorders>
            <w:vAlign w:val="center"/>
            <w:hideMark/>
          </w:tcPr>
          <w:p w14:paraId="1AC60447" w14:textId="77777777" w:rsidR="00A13C03" w:rsidRPr="00A13C03" w:rsidRDefault="00A13C03">
            <w:pPr>
              <w:spacing w:line="360" w:lineRule="auto"/>
              <w:jc w:val="center"/>
              <w:rPr>
                <w:rFonts w:ascii="Times New Roman" w:hAnsi="Times New Roman" w:cs="Times New Roman"/>
                <w:sz w:val="24"/>
                <w:szCs w:val="24"/>
              </w:rPr>
            </w:pPr>
            <w:r w:rsidRPr="00A13C03">
              <w:rPr>
                <w:rFonts w:ascii="Times New Roman" w:hAnsi="Times New Roman" w:cs="Times New Roman"/>
                <w:sz w:val="24"/>
                <w:szCs w:val="24"/>
              </w:rPr>
              <w:t>0,77</w:t>
            </w:r>
          </w:p>
        </w:tc>
      </w:tr>
      <w:tr w:rsidR="00A13C03" w14:paraId="2E039B18" w14:textId="77777777" w:rsidTr="00A13C03">
        <w:tc>
          <w:tcPr>
            <w:tcW w:w="3652" w:type="dxa"/>
            <w:tcBorders>
              <w:top w:val="nil"/>
              <w:left w:val="nil"/>
              <w:bottom w:val="nil"/>
              <w:right w:val="nil"/>
            </w:tcBorders>
            <w:vAlign w:val="center"/>
            <w:hideMark/>
          </w:tcPr>
          <w:p w14:paraId="1B17112E" w14:textId="77777777" w:rsidR="00A13C03" w:rsidRPr="00A13C03" w:rsidRDefault="00A13C03">
            <w:pPr>
              <w:spacing w:line="360" w:lineRule="auto"/>
              <w:rPr>
                <w:rFonts w:ascii="Times New Roman" w:hAnsi="Times New Roman" w:cs="Times New Roman"/>
                <w:sz w:val="24"/>
                <w:szCs w:val="24"/>
              </w:rPr>
            </w:pPr>
            <w:r w:rsidRPr="00A13C03">
              <w:rPr>
                <w:rFonts w:ascii="Times New Roman" w:hAnsi="Times New Roman" w:cs="Times New Roman"/>
                <w:sz w:val="24"/>
                <w:szCs w:val="24"/>
              </w:rPr>
              <w:lastRenderedPageBreak/>
              <w:t xml:space="preserve"> C: Fracaso</w:t>
            </w:r>
          </w:p>
        </w:tc>
        <w:tc>
          <w:tcPr>
            <w:tcW w:w="2701" w:type="dxa"/>
            <w:tcBorders>
              <w:top w:val="nil"/>
              <w:left w:val="nil"/>
              <w:bottom w:val="nil"/>
              <w:right w:val="nil"/>
            </w:tcBorders>
            <w:vAlign w:val="center"/>
            <w:hideMark/>
          </w:tcPr>
          <w:p w14:paraId="5EFAE508" w14:textId="77777777" w:rsidR="00A13C03" w:rsidRPr="00A13C03" w:rsidRDefault="00A13C03">
            <w:pPr>
              <w:spacing w:line="360" w:lineRule="auto"/>
              <w:jc w:val="center"/>
              <w:rPr>
                <w:rFonts w:ascii="Times New Roman" w:hAnsi="Times New Roman" w:cs="Times New Roman"/>
                <w:sz w:val="24"/>
                <w:szCs w:val="24"/>
              </w:rPr>
            </w:pPr>
            <w:r w:rsidRPr="00A13C03">
              <w:rPr>
                <w:rFonts w:ascii="Times New Roman" w:hAnsi="Times New Roman" w:cs="Times New Roman"/>
                <w:sz w:val="24"/>
                <w:szCs w:val="24"/>
              </w:rPr>
              <w:t>0,62</w:t>
            </w:r>
          </w:p>
        </w:tc>
        <w:tc>
          <w:tcPr>
            <w:tcW w:w="2701" w:type="dxa"/>
            <w:tcBorders>
              <w:top w:val="nil"/>
              <w:left w:val="nil"/>
              <w:bottom w:val="nil"/>
              <w:right w:val="nil"/>
            </w:tcBorders>
            <w:vAlign w:val="center"/>
            <w:hideMark/>
          </w:tcPr>
          <w:p w14:paraId="5A313D25" w14:textId="77777777" w:rsidR="00A13C03" w:rsidRPr="00A13C03" w:rsidRDefault="00A13C03">
            <w:pPr>
              <w:spacing w:line="360" w:lineRule="auto"/>
              <w:jc w:val="center"/>
              <w:rPr>
                <w:rFonts w:ascii="Times New Roman" w:hAnsi="Times New Roman" w:cs="Times New Roman"/>
                <w:sz w:val="24"/>
                <w:szCs w:val="24"/>
              </w:rPr>
            </w:pPr>
            <w:r w:rsidRPr="00A13C03">
              <w:rPr>
                <w:rFonts w:ascii="Times New Roman" w:hAnsi="Times New Roman" w:cs="Times New Roman"/>
                <w:sz w:val="24"/>
                <w:szCs w:val="24"/>
              </w:rPr>
              <w:t>0,72</w:t>
            </w:r>
          </w:p>
        </w:tc>
      </w:tr>
      <w:tr w:rsidR="00A13C03" w14:paraId="39EA4B94" w14:textId="77777777" w:rsidTr="00A13C03">
        <w:tc>
          <w:tcPr>
            <w:tcW w:w="3652" w:type="dxa"/>
            <w:tcBorders>
              <w:top w:val="nil"/>
              <w:left w:val="nil"/>
              <w:bottom w:val="nil"/>
              <w:right w:val="nil"/>
            </w:tcBorders>
            <w:vAlign w:val="center"/>
            <w:hideMark/>
          </w:tcPr>
          <w:p w14:paraId="5B61BBB6" w14:textId="77777777" w:rsidR="00A13C03" w:rsidRPr="00A13C03" w:rsidRDefault="00A13C03">
            <w:pPr>
              <w:spacing w:line="360" w:lineRule="auto"/>
              <w:rPr>
                <w:rFonts w:ascii="Times New Roman" w:hAnsi="Times New Roman" w:cs="Times New Roman"/>
                <w:sz w:val="24"/>
                <w:szCs w:val="24"/>
              </w:rPr>
            </w:pPr>
            <w:r w:rsidRPr="00A13C03">
              <w:rPr>
                <w:rFonts w:ascii="Times New Roman" w:hAnsi="Times New Roman" w:cs="Times New Roman"/>
                <w:sz w:val="24"/>
                <w:szCs w:val="24"/>
              </w:rPr>
              <w:t xml:space="preserve"> D: Satisfacción</w:t>
            </w:r>
          </w:p>
        </w:tc>
        <w:tc>
          <w:tcPr>
            <w:tcW w:w="2701" w:type="dxa"/>
            <w:tcBorders>
              <w:top w:val="nil"/>
              <w:left w:val="nil"/>
              <w:bottom w:val="nil"/>
              <w:right w:val="nil"/>
            </w:tcBorders>
            <w:vAlign w:val="center"/>
            <w:hideMark/>
          </w:tcPr>
          <w:p w14:paraId="4F6B26B5" w14:textId="77777777" w:rsidR="00A13C03" w:rsidRPr="00A13C03" w:rsidRDefault="00A13C03">
            <w:pPr>
              <w:spacing w:line="360" w:lineRule="auto"/>
              <w:jc w:val="center"/>
              <w:rPr>
                <w:rFonts w:ascii="Times New Roman" w:hAnsi="Times New Roman" w:cs="Times New Roman"/>
                <w:sz w:val="24"/>
                <w:szCs w:val="24"/>
              </w:rPr>
            </w:pPr>
            <w:r w:rsidRPr="00A13C03">
              <w:rPr>
                <w:rFonts w:ascii="Times New Roman" w:hAnsi="Times New Roman" w:cs="Times New Roman"/>
                <w:sz w:val="24"/>
                <w:szCs w:val="24"/>
              </w:rPr>
              <w:t>0,72</w:t>
            </w:r>
          </w:p>
        </w:tc>
        <w:tc>
          <w:tcPr>
            <w:tcW w:w="2701" w:type="dxa"/>
            <w:tcBorders>
              <w:top w:val="nil"/>
              <w:left w:val="nil"/>
              <w:bottom w:val="nil"/>
              <w:right w:val="nil"/>
            </w:tcBorders>
            <w:vAlign w:val="center"/>
            <w:hideMark/>
          </w:tcPr>
          <w:p w14:paraId="5CB8D5AE" w14:textId="77777777" w:rsidR="00A13C03" w:rsidRPr="00A13C03" w:rsidRDefault="00A13C03">
            <w:pPr>
              <w:spacing w:line="360" w:lineRule="auto"/>
              <w:jc w:val="center"/>
              <w:rPr>
                <w:rFonts w:ascii="Times New Roman" w:hAnsi="Times New Roman" w:cs="Times New Roman"/>
                <w:sz w:val="24"/>
                <w:szCs w:val="24"/>
              </w:rPr>
            </w:pPr>
            <w:r w:rsidRPr="00A13C03">
              <w:rPr>
                <w:rFonts w:ascii="Times New Roman" w:hAnsi="Times New Roman" w:cs="Times New Roman"/>
                <w:sz w:val="24"/>
                <w:szCs w:val="24"/>
              </w:rPr>
              <w:t>0,70</w:t>
            </w:r>
          </w:p>
        </w:tc>
      </w:tr>
      <w:tr w:rsidR="00A13C03" w14:paraId="53697F22" w14:textId="77777777" w:rsidTr="00A13C03">
        <w:tc>
          <w:tcPr>
            <w:tcW w:w="3652" w:type="dxa"/>
            <w:tcBorders>
              <w:top w:val="nil"/>
              <w:left w:val="nil"/>
              <w:bottom w:val="nil"/>
              <w:right w:val="nil"/>
            </w:tcBorders>
            <w:vAlign w:val="center"/>
            <w:hideMark/>
          </w:tcPr>
          <w:p w14:paraId="6C623EA9" w14:textId="77777777" w:rsidR="00A13C03" w:rsidRPr="00A13C03" w:rsidRDefault="00A13C03">
            <w:pPr>
              <w:spacing w:line="360" w:lineRule="auto"/>
              <w:rPr>
                <w:rFonts w:ascii="Times New Roman" w:hAnsi="Times New Roman" w:cs="Times New Roman"/>
                <w:sz w:val="24"/>
                <w:szCs w:val="24"/>
              </w:rPr>
            </w:pPr>
            <w:r w:rsidRPr="00A13C03">
              <w:rPr>
                <w:rFonts w:ascii="Times New Roman" w:hAnsi="Times New Roman" w:cs="Times New Roman"/>
                <w:sz w:val="24"/>
                <w:szCs w:val="24"/>
              </w:rPr>
              <w:t xml:space="preserve"> E: Culpa</w:t>
            </w:r>
          </w:p>
        </w:tc>
        <w:tc>
          <w:tcPr>
            <w:tcW w:w="2701" w:type="dxa"/>
            <w:tcBorders>
              <w:top w:val="nil"/>
              <w:left w:val="nil"/>
              <w:bottom w:val="nil"/>
              <w:right w:val="nil"/>
            </w:tcBorders>
            <w:vAlign w:val="center"/>
            <w:hideMark/>
          </w:tcPr>
          <w:p w14:paraId="100AC7B1" w14:textId="77777777" w:rsidR="00A13C03" w:rsidRPr="00A13C03" w:rsidRDefault="00A13C03">
            <w:pPr>
              <w:spacing w:line="360" w:lineRule="auto"/>
              <w:jc w:val="center"/>
              <w:rPr>
                <w:rFonts w:ascii="Times New Roman" w:hAnsi="Times New Roman" w:cs="Times New Roman"/>
                <w:sz w:val="24"/>
                <w:szCs w:val="24"/>
              </w:rPr>
            </w:pPr>
            <w:r w:rsidRPr="00A13C03">
              <w:rPr>
                <w:rFonts w:ascii="Times New Roman" w:hAnsi="Times New Roman" w:cs="Times New Roman"/>
                <w:sz w:val="24"/>
                <w:szCs w:val="24"/>
              </w:rPr>
              <w:t>0,69</w:t>
            </w:r>
          </w:p>
        </w:tc>
        <w:tc>
          <w:tcPr>
            <w:tcW w:w="2701" w:type="dxa"/>
            <w:tcBorders>
              <w:top w:val="nil"/>
              <w:left w:val="nil"/>
              <w:bottom w:val="nil"/>
              <w:right w:val="nil"/>
            </w:tcBorders>
            <w:vAlign w:val="center"/>
            <w:hideMark/>
          </w:tcPr>
          <w:p w14:paraId="089B932B" w14:textId="77777777" w:rsidR="00A13C03" w:rsidRPr="00A13C03" w:rsidRDefault="00A13C03">
            <w:pPr>
              <w:spacing w:line="360" w:lineRule="auto"/>
              <w:jc w:val="center"/>
              <w:rPr>
                <w:rFonts w:ascii="Times New Roman" w:hAnsi="Times New Roman" w:cs="Times New Roman"/>
                <w:sz w:val="24"/>
                <w:szCs w:val="24"/>
              </w:rPr>
            </w:pPr>
            <w:r w:rsidRPr="00A13C03">
              <w:rPr>
                <w:rFonts w:ascii="Times New Roman" w:hAnsi="Times New Roman" w:cs="Times New Roman"/>
                <w:sz w:val="24"/>
                <w:szCs w:val="24"/>
              </w:rPr>
              <w:t>0,64</w:t>
            </w:r>
          </w:p>
        </w:tc>
      </w:tr>
      <w:tr w:rsidR="00A13C03" w14:paraId="1DCC3346" w14:textId="77777777" w:rsidTr="00A13C03">
        <w:tc>
          <w:tcPr>
            <w:tcW w:w="3652" w:type="dxa"/>
            <w:tcBorders>
              <w:top w:val="nil"/>
              <w:left w:val="nil"/>
              <w:bottom w:val="nil"/>
              <w:right w:val="nil"/>
            </w:tcBorders>
            <w:vAlign w:val="center"/>
            <w:hideMark/>
          </w:tcPr>
          <w:p w14:paraId="113F2321" w14:textId="77777777" w:rsidR="00A13C03" w:rsidRPr="00A13C03" w:rsidRDefault="00A13C03">
            <w:pPr>
              <w:spacing w:line="360" w:lineRule="auto"/>
              <w:rPr>
                <w:rFonts w:ascii="Times New Roman" w:hAnsi="Times New Roman" w:cs="Times New Roman"/>
                <w:sz w:val="24"/>
                <w:szCs w:val="24"/>
              </w:rPr>
            </w:pPr>
            <w:r w:rsidRPr="00A13C03">
              <w:rPr>
                <w:rFonts w:ascii="Times New Roman" w:hAnsi="Times New Roman" w:cs="Times New Roman"/>
                <w:sz w:val="24"/>
                <w:szCs w:val="24"/>
              </w:rPr>
              <w:t xml:space="preserve"> F: Castigo</w:t>
            </w:r>
          </w:p>
        </w:tc>
        <w:tc>
          <w:tcPr>
            <w:tcW w:w="2701" w:type="dxa"/>
            <w:tcBorders>
              <w:top w:val="nil"/>
              <w:left w:val="nil"/>
              <w:bottom w:val="nil"/>
              <w:right w:val="nil"/>
            </w:tcBorders>
            <w:vAlign w:val="center"/>
            <w:hideMark/>
          </w:tcPr>
          <w:p w14:paraId="3E33726B" w14:textId="77777777" w:rsidR="00A13C03" w:rsidRPr="00A13C03" w:rsidRDefault="00A13C03">
            <w:pPr>
              <w:spacing w:line="360" w:lineRule="auto"/>
              <w:jc w:val="center"/>
              <w:rPr>
                <w:rFonts w:ascii="Times New Roman" w:hAnsi="Times New Roman" w:cs="Times New Roman"/>
                <w:sz w:val="24"/>
                <w:szCs w:val="24"/>
              </w:rPr>
            </w:pPr>
            <w:r w:rsidRPr="00A13C03">
              <w:rPr>
                <w:rFonts w:ascii="Times New Roman" w:hAnsi="Times New Roman" w:cs="Times New Roman"/>
                <w:sz w:val="24"/>
                <w:szCs w:val="24"/>
              </w:rPr>
              <w:t>0,64</w:t>
            </w:r>
          </w:p>
        </w:tc>
        <w:tc>
          <w:tcPr>
            <w:tcW w:w="2701" w:type="dxa"/>
            <w:tcBorders>
              <w:top w:val="nil"/>
              <w:left w:val="nil"/>
              <w:bottom w:val="nil"/>
              <w:right w:val="nil"/>
            </w:tcBorders>
            <w:vAlign w:val="center"/>
            <w:hideMark/>
          </w:tcPr>
          <w:p w14:paraId="56B94D02" w14:textId="77777777" w:rsidR="00A13C03" w:rsidRPr="00A13C03" w:rsidRDefault="00A13C03">
            <w:pPr>
              <w:spacing w:line="360" w:lineRule="auto"/>
              <w:jc w:val="center"/>
              <w:rPr>
                <w:rFonts w:ascii="Times New Roman" w:hAnsi="Times New Roman" w:cs="Times New Roman"/>
                <w:sz w:val="24"/>
                <w:szCs w:val="24"/>
              </w:rPr>
            </w:pPr>
            <w:r w:rsidRPr="00A13C03">
              <w:rPr>
                <w:rFonts w:ascii="Times New Roman" w:hAnsi="Times New Roman" w:cs="Times New Roman"/>
                <w:sz w:val="24"/>
                <w:szCs w:val="24"/>
              </w:rPr>
              <w:t>0,67</w:t>
            </w:r>
          </w:p>
        </w:tc>
      </w:tr>
      <w:tr w:rsidR="00A13C03" w14:paraId="368AAD20" w14:textId="77777777" w:rsidTr="00A13C03">
        <w:tc>
          <w:tcPr>
            <w:tcW w:w="3652" w:type="dxa"/>
            <w:tcBorders>
              <w:top w:val="nil"/>
              <w:left w:val="nil"/>
              <w:bottom w:val="nil"/>
              <w:right w:val="nil"/>
            </w:tcBorders>
            <w:vAlign w:val="center"/>
            <w:hideMark/>
          </w:tcPr>
          <w:p w14:paraId="3DD7CD56" w14:textId="77777777" w:rsidR="00A13C03" w:rsidRPr="00A13C03" w:rsidRDefault="00A13C03">
            <w:pPr>
              <w:spacing w:line="360" w:lineRule="auto"/>
              <w:rPr>
                <w:rFonts w:ascii="Times New Roman" w:hAnsi="Times New Roman" w:cs="Times New Roman"/>
                <w:sz w:val="24"/>
                <w:szCs w:val="24"/>
              </w:rPr>
            </w:pPr>
            <w:r w:rsidRPr="00A13C03">
              <w:rPr>
                <w:rFonts w:ascii="Times New Roman" w:hAnsi="Times New Roman" w:cs="Times New Roman"/>
                <w:sz w:val="24"/>
                <w:szCs w:val="24"/>
              </w:rPr>
              <w:t xml:space="preserve"> G: Decepción</w:t>
            </w:r>
          </w:p>
        </w:tc>
        <w:tc>
          <w:tcPr>
            <w:tcW w:w="2701" w:type="dxa"/>
            <w:tcBorders>
              <w:top w:val="nil"/>
              <w:left w:val="nil"/>
              <w:bottom w:val="nil"/>
              <w:right w:val="nil"/>
            </w:tcBorders>
            <w:vAlign w:val="center"/>
            <w:hideMark/>
          </w:tcPr>
          <w:p w14:paraId="1AED2BF8" w14:textId="77777777" w:rsidR="00A13C03" w:rsidRPr="00A13C03" w:rsidRDefault="00A13C03">
            <w:pPr>
              <w:spacing w:line="360" w:lineRule="auto"/>
              <w:jc w:val="center"/>
              <w:rPr>
                <w:rFonts w:ascii="Times New Roman" w:hAnsi="Times New Roman" w:cs="Times New Roman"/>
                <w:sz w:val="24"/>
                <w:szCs w:val="24"/>
              </w:rPr>
            </w:pPr>
            <w:r w:rsidRPr="00A13C03">
              <w:rPr>
                <w:rFonts w:ascii="Times New Roman" w:hAnsi="Times New Roman" w:cs="Times New Roman"/>
                <w:sz w:val="24"/>
                <w:szCs w:val="24"/>
              </w:rPr>
              <w:t>0,72</w:t>
            </w:r>
          </w:p>
        </w:tc>
        <w:tc>
          <w:tcPr>
            <w:tcW w:w="2701" w:type="dxa"/>
            <w:tcBorders>
              <w:top w:val="nil"/>
              <w:left w:val="nil"/>
              <w:bottom w:val="nil"/>
              <w:right w:val="nil"/>
            </w:tcBorders>
            <w:vAlign w:val="center"/>
            <w:hideMark/>
          </w:tcPr>
          <w:p w14:paraId="17BC86C3" w14:textId="77777777" w:rsidR="00A13C03" w:rsidRPr="00A13C03" w:rsidRDefault="00A13C03">
            <w:pPr>
              <w:spacing w:line="360" w:lineRule="auto"/>
              <w:jc w:val="center"/>
              <w:rPr>
                <w:rFonts w:ascii="Times New Roman" w:hAnsi="Times New Roman" w:cs="Times New Roman"/>
                <w:sz w:val="24"/>
                <w:szCs w:val="24"/>
              </w:rPr>
            </w:pPr>
            <w:r w:rsidRPr="00A13C03">
              <w:rPr>
                <w:rFonts w:ascii="Times New Roman" w:hAnsi="Times New Roman" w:cs="Times New Roman"/>
                <w:sz w:val="24"/>
                <w:szCs w:val="24"/>
              </w:rPr>
              <w:t>0,79</w:t>
            </w:r>
          </w:p>
        </w:tc>
      </w:tr>
      <w:tr w:rsidR="00A13C03" w14:paraId="75E616E8" w14:textId="77777777" w:rsidTr="00A13C03">
        <w:tc>
          <w:tcPr>
            <w:tcW w:w="3652" w:type="dxa"/>
            <w:tcBorders>
              <w:top w:val="nil"/>
              <w:left w:val="nil"/>
              <w:bottom w:val="nil"/>
              <w:right w:val="nil"/>
            </w:tcBorders>
            <w:vAlign w:val="center"/>
            <w:hideMark/>
          </w:tcPr>
          <w:p w14:paraId="012066A4" w14:textId="77777777" w:rsidR="00A13C03" w:rsidRPr="00A13C03" w:rsidRDefault="00A13C03">
            <w:pPr>
              <w:spacing w:line="360" w:lineRule="auto"/>
              <w:rPr>
                <w:rFonts w:ascii="Times New Roman" w:hAnsi="Times New Roman" w:cs="Times New Roman"/>
                <w:sz w:val="24"/>
                <w:szCs w:val="24"/>
              </w:rPr>
            </w:pPr>
            <w:r w:rsidRPr="00A13C03">
              <w:rPr>
                <w:rFonts w:ascii="Times New Roman" w:hAnsi="Times New Roman" w:cs="Times New Roman"/>
                <w:sz w:val="24"/>
                <w:szCs w:val="24"/>
              </w:rPr>
              <w:t xml:space="preserve"> H: Autocrítica</w:t>
            </w:r>
          </w:p>
        </w:tc>
        <w:tc>
          <w:tcPr>
            <w:tcW w:w="2701" w:type="dxa"/>
            <w:tcBorders>
              <w:top w:val="nil"/>
              <w:left w:val="nil"/>
              <w:bottom w:val="nil"/>
              <w:right w:val="nil"/>
            </w:tcBorders>
            <w:vAlign w:val="center"/>
            <w:hideMark/>
          </w:tcPr>
          <w:p w14:paraId="530E5607" w14:textId="77777777" w:rsidR="00A13C03" w:rsidRPr="00A13C03" w:rsidRDefault="00A13C03">
            <w:pPr>
              <w:spacing w:line="360" w:lineRule="auto"/>
              <w:jc w:val="center"/>
              <w:rPr>
                <w:rFonts w:ascii="Times New Roman" w:hAnsi="Times New Roman" w:cs="Times New Roman"/>
                <w:sz w:val="24"/>
                <w:szCs w:val="24"/>
              </w:rPr>
            </w:pPr>
            <w:r w:rsidRPr="00A13C03">
              <w:rPr>
                <w:rFonts w:ascii="Times New Roman" w:hAnsi="Times New Roman" w:cs="Times New Roman"/>
                <w:sz w:val="24"/>
                <w:szCs w:val="24"/>
              </w:rPr>
              <w:t>0,65</w:t>
            </w:r>
          </w:p>
        </w:tc>
        <w:tc>
          <w:tcPr>
            <w:tcW w:w="2701" w:type="dxa"/>
            <w:tcBorders>
              <w:top w:val="nil"/>
              <w:left w:val="nil"/>
              <w:bottom w:val="nil"/>
              <w:right w:val="nil"/>
            </w:tcBorders>
            <w:vAlign w:val="center"/>
            <w:hideMark/>
          </w:tcPr>
          <w:p w14:paraId="68072A13" w14:textId="77777777" w:rsidR="00A13C03" w:rsidRPr="00A13C03" w:rsidRDefault="00A13C03">
            <w:pPr>
              <w:spacing w:line="360" w:lineRule="auto"/>
              <w:jc w:val="center"/>
              <w:rPr>
                <w:rFonts w:ascii="Times New Roman" w:hAnsi="Times New Roman" w:cs="Times New Roman"/>
                <w:sz w:val="24"/>
                <w:szCs w:val="24"/>
              </w:rPr>
            </w:pPr>
            <w:r w:rsidRPr="00A13C03">
              <w:rPr>
                <w:rFonts w:ascii="Times New Roman" w:hAnsi="Times New Roman" w:cs="Times New Roman"/>
                <w:sz w:val="24"/>
                <w:szCs w:val="24"/>
              </w:rPr>
              <w:t>0,58</w:t>
            </w:r>
          </w:p>
        </w:tc>
      </w:tr>
      <w:tr w:rsidR="00A13C03" w14:paraId="585603DB" w14:textId="77777777" w:rsidTr="00A13C03">
        <w:tc>
          <w:tcPr>
            <w:tcW w:w="3652" w:type="dxa"/>
            <w:tcBorders>
              <w:top w:val="nil"/>
              <w:left w:val="nil"/>
              <w:bottom w:val="nil"/>
              <w:right w:val="nil"/>
            </w:tcBorders>
            <w:vAlign w:val="center"/>
            <w:hideMark/>
          </w:tcPr>
          <w:p w14:paraId="1709B3BA" w14:textId="77777777" w:rsidR="00A13C03" w:rsidRPr="00A13C03" w:rsidRDefault="00A13C03">
            <w:pPr>
              <w:spacing w:line="360" w:lineRule="auto"/>
              <w:rPr>
                <w:rFonts w:ascii="Times New Roman" w:hAnsi="Times New Roman" w:cs="Times New Roman"/>
                <w:sz w:val="24"/>
                <w:szCs w:val="24"/>
              </w:rPr>
            </w:pPr>
            <w:r w:rsidRPr="00A13C03">
              <w:rPr>
                <w:rFonts w:ascii="Times New Roman" w:hAnsi="Times New Roman" w:cs="Times New Roman"/>
                <w:sz w:val="24"/>
                <w:szCs w:val="24"/>
              </w:rPr>
              <w:t xml:space="preserve"> I: Ideación Suicida</w:t>
            </w:r>
          </w:p>
        </w:tc>
        <w:tc>
          <w:tcPr>
            <w:tcW w:w="2701" w:type="dxa"/>
            <w:tcBorders>
              <w:top w:val="nil"/>
              <w:left w:val="nil"/>
              <w:bottom w:val="nil"/>
              <w:right w:val="nil"/>
            </w:tcBorders>
            <w:vAlign w:val="center"/>
            <w:hideMark/>
          </w:tcPr>
          <w:p w14:paraId="6A409A58" w14:textId="77777777" w:rsidR="00A13C03" w:rsidRPr="00A13C03" w:rsidRDefault="00A13C03">
            <w:pPr>
              <w:spacing w:line="360" w:lineRule="auto"/>
              <w:jc w:val="center"/>
              <w:rPr>
                <w:rFonts w:ascii="Times New Roman" w:hAnsi="Times New Roman" w:cs="Times New Roman"/>
                <w:sz w:val="24"/>
                <w:szCs w:val="24"/>
              </w:rPr>
            </w:pPr>
            <w:r w:rsidRPr="00A13C03">
              <w:rPr>
                <w:rFonts w:ascii="Times New Roman" w:hAnsi="Times New Roman" w:cs="Times New Roman"/>
                <w:sz w:val="24"/>
                <w:szCs w:val="24"/>
              </w:rPr>
              <w:t>0,62</w:t>
            </w:r>
          </w:p>
        </w:tc>
        <w:tc>
          <w:tcPr>
            <w:tcW w:w="2701" w:type="dxa"/>
            <w:tcBorders>
              <w:top w:val="nil"/>
              <w:left w:val="nil"/>
              <w:bottom w:val="nil"/>
              <w:right w:val="nil"/>
            </w:tcBorders>
            <w:vAlign w:val="center"/>
            <w:hideMark/>
          </w:tcPr>
          <w:p w14:paraId="4B6E0F83" w14:textId="77777777" w:rsidR="00A13C03" w:rsidRPr="00A13C03" w:rsidRDefault="00A13C03">
            <w:pPr>
              <w:spacing w:line="360" w:lineRule="auto"/>
              <w:jc w:val="center"/>
              <w:rPr>
                <w:rFonts w:ascii="Times New Roman" w:hAnsi="Times New Roman" w:cs="Times New Roman"/>
                <w:sz w:val="24"/>
                <w:szCs w:val="24"/>
              </w:rPr>
            </w:pPr>
            <w:r w:rsidRPr="00A13C03">
              <w:rPr>
                <w:rFonts w:ascii="Times New Roman" w:hAnsi="Times New Roman" w:cs="Times New Roman"/>
                <w:sz w:val="24"/>
                <w:szCs w:val="24"/>
              </w:rPr>
              <w:t>0,77</w:t>
            </w:r>
          </w:p>
        </w:tc>
      </w:tr>
      <w:tr w:rsidR="00A13C03" w14:paraId="0DDDB3E9" w14:textId="77777777" w:rsidTr="00A13C03">
        <w:tc>
          <w:tcPr>
            <w:tcW w:w="3652" w:type="dxa"/>
            <w:tcBorders>
              <w:top w:val="nil"/>
              <w:left w:val="nil"/>
              <w:bottom w:val="nil"/>
              <w:right w:val="nil"/>
            </w:tcBorders>
            <w:vAlign w:val="center"/>
            <w:hideMark/>
          </w:tcPr>
          <w:p w14:paraId="76DEDEA4" w14:textId="77777777" w:rsidR="00A13C03" w:rsidRPr="00A13C03" w:rsidRDefault="00A13C03">
            <w:pPr>
              <w:spacing w:line="360" w:lineRule="auto"/>
              <w:rPr>
                <w:rFonts w:ascii="Times New Roman" w:hAnsi="Times New Roman" w:cs="Times New Roman"/>
                <w:sz w:val="24"/>
                <w:szCs w:val="24"/>
              </w:rPr>
            </w:pPr>
            <w:r w:rsidRPr="00A13C03">
              <w:rPr>
                <w:rFonts w:ascii="Times New Roman" w:hAnsi="Times New Roman" w:cs="Times New Roman"/>
                <w:sz w:val="24"/>
                <w:szCs w:val="24"/>
              </w:rPr>
              <w:t xml:space="preserve"> J: Llanto</w:t>
            </w:r>
          </w:p>
        </w:tc>
        <w:tc>
          <w:tcPr>
            <w:tcW w:w="2701" w:type="dxa"/>
            <w:tcBorders>
              <w:top w:val="nil"/>
              <w:left w:val="nil"/>
              <w:bottom w:val="nil"/>
              <w:right w:val="nil"/>
            </w:tcBorders>
            <w:vAlign w:val="center"/>
            <w:hideMark/>
          </w:tcPr>
          <w:p w14:paraId="5F1043F8" w14:textId="77777777" w:rsidR="00A13C03" w:rsidRPr="00A13C03" w:rsidRDefault="00A13C03">
            <w:pPr>
              <w:spacing w:line="360" w:lineRule="auto"/>
              <w:jc w:val="center"/>
              <w:rPr>
                <w:rFonts w:ascii="Times New Roman" w:hAnsi="Times New Roman" w:cs="Times New Roman"/>
                <w:sz w:val="24"/>
                <w:szCs w:val="24"/>
              </w:rPr>
            </w:pPr>
            <w:r w:rsidRPr="00A13C03">
              <w:rPr>
                <w:rFonts w:ascii="Times New Roman" w:hAnsi="Times New Roman" w:cs="Times New Roman"/>
                <w:sz w:val="24"/>
                <w:szCs w:val="24"/>
              </w:rPr>
              <w:t>0,64</w:t>
            </w:r>
          </w:p>
        </w:tc>
        <w:tc>
          <w:tcPr>
            <w:tcW w:w="2701" w:type="dxa"/>
            <w:tcBorders>
              <w:top w:val="nil"/>
              <w:left w:val="nil"/>
              <w:bottom w:val="nil"/>
              <w:right w:val="nil"/>
            </w:tcBorders>
            <w:vAlign w:val="center"/>
            <w:hideMark/>
          </w:tcPr>
          <w:p w14:paraId="0E0C6DD1" w14:textId="77777777" w:rsidR="00A13C03" w:rsidRPr="00A13C03" w:rsidRDefault="00A13C03">
            <w:pPr>
              <w:spacing w:line="360" w:lineRule="auto"/>
              <w:jc w:val="center"/>
              <w:rPr>
                <w:rFonts w:ascii="Times New Roman" w:hAnsi="Times New Roman" w:cs="Times New Roman"/>
                <w:sz w:val="24"/>
                <w:szCs w:val="24"/>
              </w:rPr>
            </w:pPr>
            <w:r w:rsidRPr="00A13C03">
              <w:rPr>
                <w:rFonts w:ascii="Times New Roman" w:hAnsi="Times New Roman" w:cs="Times New Roman"/>
                <w:sz w:val="24"/>
                <w:szCs w:val="24"/>
              </w:rPr>
              <w:t>0,72</w:t>
            </w:r>
          </w:p>
        </w:tc>
      </w:tr>
      <w:tr w:rsidR="00A13C03" w14:paraId="33AF84B1" w14:textId="77777777" w:rsidTr="00A13C03">
        <w:tc>
          <w:tcPr>
            <w:tcW w:w="3652" w:type="dxa"/>
            <w:tcBorders>
              <w:top w:val="nil"/>
              <w:left w:val="nil"/>
              <w:bottom w:val="nil"/>
              <w:right w:val="nil"/>
            </w:tcBorders>
            <w:vAlign w:val="center"/>
            <w:hideMark/>
          </w:tcPr>
          <w:p w14:paraId="0D4BA1FA" w14:textId="77777777" w:rsidR="00A13C03" w:rsidRPr="00A13C03" w:rsidRDefault="00A13C03">
            <w:pPr>
              <w:spacing w:line="360" w:lineRule="auto"/>
              <w:rPr>
                <w:rFonts w:ascii="Times New Roman" w:hAnsi="Times New Roman" w:cs="Times New Roman"/>
                <w:sz w:val="24"/>
                <w:szCs w:val="24"/>
              </w:rPr>
            </w:pPr>
            <w:r w:rsidRPr="00A13C03">
              <w:rPr>
                <w:rFonts w:ascii="Times New Roman" w:hAnsi="Times New Roman" w:cs="Times New Roman"/>
                <w:sz w:val="24"/>
                <w:szCs w:val="24"/>
              </w:rPr>
              <w:t xml:space="preserve"> K: Irritabilidad</w:t>
            </w:r>
          </w:p>
        </w:tc>
        <w:tc>
          <w:tcPr>
            <w:tcW w:w="2701" w:type="dxa"/>
            <w:tcBorders>
              <w:top w:val="nil"/>
              <w:left w:val="nil"/>
              <w:bottom w:val="nil"/>
              <w:right w:val="nil"/>
            </w:tcBorders>
            <w:vAlign w:val="center"/>
            <w:hideMark/>
          </w:tcPr>
          <w:p w14:paraId="2991AD5E" w14:textId="77777777" w:rsidR="00A13C03" w:rsidRPr="00A13C03" w:rsidRDefault="00A13C03">
            <w:pPr>
              <w:spacing w:line="360" w:lineRule="auto"/>
              <w:jc w:val="center"/>
              <w:rPr>
                <w:rFonts w:ascii="Times New Roman" w:hAnsi="Times New Roman" w:cs="Times New Roman"/>
                <w:sz w:val="24"/>
                <w:szCs w:val="24"/>
              </w:rPr>
            </w:pPr>
            <w:r w:rsidRPr="00A13C03">
              <w:rPr>
                <w:rFonts w:ascii="Times New Roman" w:hAnsi="Times New Roman" w:cs="Times New Roman"/>
                <w:sz w:val="24"/>
                <w:szCs w:val="24"/>
              </w:rPr>
              <w:t>0,42</w:t>
            </w:r>
          </w:p>
        </w:tc>
        <w:tc>
          <w:tcPr>
            <w:tcW w:w="2701" w:type="dxa"/>
            <w:tcBorders>
              <w:top w:val="nil"/>
              <w:left w:val="nil"/>
              <w:bottom w:val="nil"/>
              <w:right w:val="nil"/>
            </w:tcBorders>
            <w:vAlign w:val="center"/>
            <w:hideMark/>
          </w:tcPr>
          <w:p w14:paraId="54B4B5CE" w14:textId="77777777" w:rsidR="00A13C03" w:rsidRPr="00A13C03" w:rsidRDefault="00A13C03">
            <w:pPr>
              <w:spacing w:line="360" w:lineRule="auto"/>
              <w:jc w:val="center"/>
              <w:rPr>
                <w:rFonts w:ascii="Times New Roman" w:hAnsi="Times New Roman" w:cs="Times New Roman"/>
                <w:sz w:val="24"/>
                <w:szCs w:val="24"/>
              </w:rPr>
            </w:pPr>
            <w:r w:rsidRPr="00A13C03">
              <w:rPr>
                <w:rFonts w:ascii="Times New Roman" w:hAnsi="Times New Roman" w:cs="Times New Roman"/>
                <w:sz w:val="24"/>
                <w:szCs w:val="24"/>
              </w:rPr>
              <w:t>0,39</w:t>
            </w:r>
          </w:p>
        </w:tc>
      </w:tr>
      <w:tr w:rsidR="00A13C03" w14:paraId="7F06EB40" w14:textId="77777777" w:rsidTr="00A13C03">
        <w:tc>
          <w:tcPr>
            <w:tcW w:w="3652" w:type="dxa"/>
            <w:tcBorders>
              <w:top w:val="nil"/>
              <w:left w:val="nil"/>
              <w:bottom w:val="nil"/>
              <w:right w:val="nil"/>
            </w:tcBorders>
            <w:vAlign w:val="center"/>
            <w:hideMark/>
          </w:tcPr>
          <w:p w14:paraId="6F824082" w14:textId="77777777" w:rsidR="00A13C03" w:rsidRPr="00A13C03" w:rsidRDefault="00A13C03">
            <w:pPr>
              <w:spacing w:line="360" w:lineRule="auto"/>
              <w:rPr>
                <w:rFonts w:ascii="Times New Roman" w:hAnsi="Times New Roman" w:cs="Times New Roman"/>
                <w:sz w:val="24"/>
                <w:szCs w:val="24"/>
              </w:rPr>
            </w:pPr>
            <w:r w:rsidRPr="00A13C03">
              <w:rPr>
                <w:rFonts w:ascii="Times New Roman" w:hAnsi="Times New Roman" w:cs="Times New Roman"/>
                <w:sz w:val="24"/>
                <w:szCs w:val="24"/>
              </w:rPr>
              <w:t xml:space="preserve"> L: Interés</w:t>
            </w:r>
          </w:p>
        </w:tc>
        <w:tc>
          <w:tcPr>
            <w:tcW w:w="2701" w:type="dxa"/>
            <w:tcBorders>
              <w:top w:val="nil"/>
              <w:left w:val="nil"/>
              <w:bottom w:val="nil"/>
              <w:right w:val="nil"/>
            </w:tcBorders>
            <w:vAlign w:val="center"/>
            <w:hideMark/>
          </w:tcPr>
          <w:p w14:paraId="72F19CA1" w14:textId="77777777" w:rsidR="00A13C03" w:rsidRPr="00A13C03" w:rsidRDefault="00A13C03">
            <w:pPr>
              <w:spacing w:line="360" w:lineRule="auto"/>
              <w:jc w:val="center"/>
              <w:rPr>
                <w:rFonts w:ascii="Times New Roman" w:hAnsi="Times New Roman" w:cs="Times New Roman"/>
                <w:sz w:val="24"/>
                <w:szCs w:val="24"/>
              </w:rPr>
            </w:pPr>
            <w:r w:rsidRPr="00A13C03">
              <w:rPr>
                <w:rFonts w:ascii="Times New Roman" w:hAnsi="Times New Roman" w:cs="Times New Roman"/>
                <w:sz w:val="24"/>
                <w:szCs w:val="24"/>
              </w:rPr>
              <w:t>0,57</w:t>
            </w:r>
          </w:p>
        </w:tc>
        <w:tc>
          <w:tcPr>
            <w:tcW w:w="2701" w:type="dxa"/>
            <w:tcBorders>
              <w:top w:val="nil"/>
              <w:left w:val="nil"/>
              <w:bottom w:val="nil"/>
              <w:right w:val="nil"/>
            </w:tcBorders>
            <w:vAlign w:val="center"/>
            <w:hideMark/>
          </w:tcPr>
          <w:p w14:paraId="3A12D1C9" w14:textId="77777777" w:rsidR="00A13C03" w:rsidRPr="00A13C03" w:rsidRDefault="00A13C03">
            <w:pPr>
              <w:spacing w:line="360" w:lineRule="auto"/>
              <w:jc w:val="center"/>
              <w:rPr>
                <w:rFonts w:ascii="Times New Roman" w:hAnsi="Times New Roman" w:cs="Times New Roman"/>
                <w:sz w:val="24"/>
                <w:szCs w:val="24"/>
              </w:rPr>
            </w:pPr>
            <w:r w:rsidRPr="00A13C03">
              <w:rPr>
                <w:rFonts w:ascii="Times New Roman" w:hAnsi="Times New Roman" w:cs="Times New Roman"/>
                <w:sz w:val="24"/>
                <w:szCs w:val="24"/>
              </w:rPr>
              <w:t>0,56</w:t>
            </w:r>
          </w:p>
        </w:tc>
      </w:tr>
      <w:tr w:rsidR="00A13C03" w14:paraId="1EBAE1CF" w14:textId="77777777" w:rsidTr="00A13C03">
        <w:tc>
          <w:tcPr>
            <w:tcW w:w="3652" w:type="dxa"/>
            <w:tcBorders>
              <w:top w:val="nil"/>
              <w:left w:val="nil"/>
              <w:bottom w:val="nil"/>
              <w:right w:val="nil"/>
            </w:tcBorders>
            <w:vAlign w:val="center"/>
            <w:hideMark/>
          </w:tcPr>
          <w:p w14:paraId="477BF148" w14:textId="77777777" w:rsidR="00A13C03" w:rsidRPr="00A13C03" w:rsidRDefault="00A13C03">
            <w:pPr>
              <w:spacing w:line="360" w:lineRule="auto"/>
              <w:rPr>
                <w:rFonts w:ascii="Times New Roman" w:hAnsi="Times New Roman" w:cs="Times New Roman"/>
                <w:sz w:val="24"/>
                <w:szCs w:val="24"/>
              </w:rPr>
            </w:pPr>
            <w:r w:rsidRPr="00A13C03">
              <w:rPr>
                <w:rFonts w:ascii="Times New Roman" w:hAnsi="Times New Roman" w:cs="Times New Roman"/>
                <w:sz w:val="24"/>
                <w:szCs w:val="24"/>
              </w:rPr>
              <w:t xml:space="preserve"> M: Inseguridad</w:t>
            </w:r>
          </w:p>
        </w:tc>
        <w:tc>
          <w:tcPr>
            <w:tcW w:w="2701" w:type="dxa"/>
            <w:tcBorders>
              <w:top w:val="nil"/>
              <w:left w:val="nil"/>
              <w:bottom w:val="nil"/>
              <w:right w:val="nil"/>
            </w:tcBorders>
            <w:vAlign w:val="center"/>
            <w:hideMark/>
          </w:tcPr>
          <w:p w14:paraId="78E43AE2" w14:textId="77777777" w:rsidR="00A13C03" w:rsidRPr="00A13C03" w:rsidRDefault="00A13C03">
            <w:pPr>
              <w:spacing w:line="360" w:lineRule="auto"/>
              <w:jc w:val="center"/>
              <w:rPr>
                <w:rFonts w:ascii="Times New Roman" w:hAnsi="Times New Roman" w:cs="Times New Roman"/>
                <w:sz w:val="24"/>
                <w:szCs w:val="24"/>
              </w:rPr>
            </w:pPr>
            <w:r w:rsidRPr="00A13C03">
              <w:rPr>
                <w:rFonts w:ascii="Times New Roman" w:hAnsi="Times New Roman" w:cs="Times New Roman"/>
                <w:sz w:val="24"/>
                <w:szCs w:val="24"/>
              </w:rPr>
              <w:t>0,66</w:t>
            </w:r>
          </w:p>
        </w:tc>
        <w:tc>
          <w:tcPr>
            <w:tcW w:w="2701" w:type="dxa"/>
            <w:tcBorders>
              <w:top w:val="nil"/>
              <w:left w:val="nil"/>
              <w:bottom w:val="nil"/>
              <w:right w:val="nil"/>
            </w:tcBorders>
            <w:vAlign w:val="center"/>
            <w:hideMark/>
          </w:tcPr>
          <w:p w14:paraId="66B3E73C" w14:textId="77777777" w:rsidR="00A13C03" w:rsidRPr="00A13C03" w:rsidRDefault="00A13C03">
            <w:pPr>
              <w:spacing w:line="360" w:lineRule="auto"/>
              <w:jc w:val="center"/>
              <w:rPr>
                <w:rFonts w:ascii="Times New Roman" w:hAnsi="Times New Roman" w:cs="Times New Roman"/>
                <w:sz w:val="24"/>
                <w:szCs w:val="24"/>
              </w:rPr>
            </w:pPr>
            <w:r w:rsidRPr="00A13C03">
              <w:rPr>
                <w:rFonts w:ascii="Times New Roman" w:hAnsi="Times New Roman" w:cs="Times New Roman"/>
                <w:sz w:val="24"/>
                <w:szCs w:val="24"/>
              </w:rPr>
              <w:t>0,66</w:t>
            </w:r>
          </w:p>
        </w:tc>
      </w:tr>
      <w:tr w:rsidR="00A13C03" w14:paraId="0E5ADB5B" w14:textId="77777777" w:rsidTr="00A13C03">
        <w:trPr>
          <w:trHeight w:val="80"/>
        </w:trPr>
        <w:tc>
          <w:tcPr>
            <w:tcW w:w="3652" w:type="dxa"/>
            <w:tcBorders>
              <w:top w:val="nil"/>
              <w:left w:val="nil"/>
              <w:bottom w:val="nil"/>
              <w:right w:val="nil"/>
            </w:tcBorders>
            <w:vAlign w:val="center"/>
            <w:hideMark/>
          </w:tcPr>
          <w:p w14:paraId="02758317" w14:textId="77777777" w:rsidR="00A13C03" w:rsidRPr="00A13C03" w:rsidRDefault="00A13C03">
            <w:pPr>
              <w:spacing w:line="360" w:lineRule="auto"/>
              <w:rPr>
                <w:rFonts w:ascii="Times New Roman" w:hAnsi="Times New Roman" w:cs="Times New Roman"/>
                <w:sz w:val="24"/>
                <w:szCs w:val="24"/>
              </w:rPr>
            </w:pPr>
            <w:r w:rsidRPr="00A13C03">
              <w:rPr>
                <w:rFonts w:ascii="Times New Roman" w:hAnsi="Times New Roman" w:cs="Times New Roman"/>
                <w:sz w:val="24"/>
                <w:szCs w:val="24"/>
              </w:rPr>
              <w:t xml:space="preserve"> N: Atractivo físico</w:t>
            </w:r>
          </w:p>
        </w:tc>
        <w:tc>
          <w:tcPr>
            <w:tcW w:w="2701" w:type="dxa"/>
            <w:tcBorders>
              <w:top w:val="nil"/>
              <w:left w:val="nil"/>
              <w:bottom w:val="nil"/>
              <w:right w:val="nil"/>
            </w:tcBorders>
            <w:vAlign w:val="center"/>
            <w:hideMark/>
          </w:tcPr>
          <w:p w14:paraId="7132C85E" w14:textId="77777777" w:rsidR="00A13C03" w:rsidRPr="00A13C03" w:rsidRDefault="00A13C03">
            <w:pPr>
              <w:spacing w:line="360" w:lineRule="auto"/>
              <w:jc w:val="center"/>
              <w:rPr>
                <w:rFonts w:ascii="Times New Roman" w:hAnsi="Times New Roman" w:cs="Times New Roman"/>
                <w:sz w:val="24"/>
                <w:szCs w:val="24"/>
              </w:rPr>
            </w:pPr>
            <w:r w:rsidRPr="00A13C03">
              <w:rPr>
                <w:rFonts w:ascii="Times New Roman" w:hAnsi="Times New Roman" w:cs="Times New Roman"/>
                <w:sz w:val="24"/>
                <w:szCs w:val="24"/>
              </w:rPr>
              <w:t>0,58</w:t>
            </w:r>
          </w:p>
        </w:tc>
        <w:tc>
          <w:tcPr>
            <w:tcW w:w="2701" w:type="dxa"/>
            <w:tcBorders>
              <w:top w:val="nil"/>
              <w:left w:val="nil"/>
              <w:bottom w:val="nil"/>
              <w:right w:val="nil"/>
            </w:tcBorders>
            <w:vAlign w:val="center"/>
            <w:hideMark/>
          </w:tcPr>
          <w:p w14:paraId="443DB523" w14:textId="77777777" w:rsidR="00A13C03" w:rsidRPr="00A13C03" w:rsidRDefault="00A13C03">
            <w:pPr>
              <w:spacing w:line="360" w:lineRule="auto"/>
              <w:jc w:val="center"/>
              <w:rPr>
                <w:rFonts w:ascii="Times New Roman" w:hAnsi="Times New Roman" w:cs="Times New Roman"/>
                <w:sz w:val="24"/>
                <w:szCs w:val="24"/>
              </w:rPr>
            </w:pPr>
            <w:r w:rsidRPr="00A13C03">
              <w:rPr>
                <w:rFonts w:ascii="Times New Roman" w:hAnsi="Times New Roman" w:cs="Times New Roman"/>
                <w:sz w:val="24"/>
                <w:szCs w:val="24"/>
              </w:rPr>
              <w:t>0,45</w:t>
            </w:r>
          </w:p>
        </w:tc>
      </w:tr>
      <w:tr w:rsidR="00A13C03" w14:paraId="4DDC3E7C" w14:textId="77777777" w:rsidTr="00A13C03">
        <w:tc>
          <w:tcPr>
            <w:tcW w:w="3652" w:type="dxa"/>
            <w:tcBorders>
              <w:top w:val="nil"/>
              <w:left w:val="nil"/>
              <w:bottom w:val="nil"/>
              <w:right w:val="nil"/>
            </w:tcBorders>
            <w:vAlign w:val="center"/>
            <w:hideMark/>
          </w:tcPr>
          <w:p w14:paraId="4E9DEB27" w14:textId="77777777" w:rsidR="00A13C03" w:rsidRPr="00A13C03" w:rsidRDefault="00A13C03">
            <w:pPr>
              <w:spacing w:line="360" w:lineRule="auto"/>
              <w:rPr>
                <w:rFonts w:ascii="Times New Roman" w:hAnsi="Times New Roman" w:cs="Times New Roman"/>
                <w:sz w:val="24"/>
                <w:szCs w:val="24"/>
              </w:rPr>
            </w:pPr>
            <w:r w:rsidRPr="00A13C03">
              <w:rPr>
                <w:rFonts w:ascii="Times New Roman" w:hAnsi="Times New Roman" w:cs="Times New Roman"/>
                <w:sz w:val="24"/>
                <w:szCs w:val="24"/>
              </w:rPr>
              <w:t xml:space="preserve"> O: Iniciativa</w:t>
            </w:r>
          </w:p>
        </w:tc>
        <w:tc>
          <w:tcPr>
            <w:tcW w:w="2701" w:type="dxa"/>
            <w:tcBorders>
              <w:top w:val="nil"/>
              <w:left w:val="nil"/>
              <w:bottom w:val="nil"/>
              <w:right w:val="nil"/>
            </w:tcBorders>
            <w:vAlign w:val="center"/>
            <w:hideMark/>
          </w:tcPr>
          <w:p w14:paraId="1B5320BF" w14:textId="77777777" w:rsidR="00A13C03" w:rsidRPr="00A13C03" w:rsidRDefault="00A13C03">
            <w:pPr>
              <w:spacing w:line="360" w:lineRule="auto"/>
              <w:jc w:val="center"/>
              <w:rPr>
                <w:rFonts w:ascii="Times New Roman" w:hAnsi="Times New Roman" w:cs="Times New Roman"/>
                <w:sz w:val="24"/>
                <w:szCs w:val="24"/>
              </w:rPr>
            </w:pPr>
            <w:r w:rsidRPr="00A13C03">
              <w:rPr>
                <w:rFonts w:ascii="Times New Roman" w:hAnsi="Times New Roman" w:cs="Times New Roman"/>
                <w:sz w:val="24"/>
                <w:szCs w:val="24"/>
              </w:rPr>
              <w:t>0,71</w:t>
            </w:r>
          </w:p>
        </w:tc>
        <w:tc>
          <w:tcPr>
            <w:tcW w:w="2701" w:type="dxa"/>
            <w:tcBorders>
              <w:top w:val="nil"/>
              <w:left w:val="nil"/>
              <w:bottom w:val="nil"/>
              <w:right w:val="nil"/>
            </w:tcBorders>
            <w:vAlign w:val="center"/>
            <w:hideMark/>
          </w:tcPr>
          <w:p w14:paraId="5F1BF03D" w14:textId="77777777" w:rsidR="00A13C03" w:rsidRPr="00A13C03" w:rsidRDefault="00A13C03">
            <w:pPr>
              <w:spacing w:line="360" w:lineRule="auto"/>
              <w:jc w:val="center"/>
              <w:rPr>
                <w:rFonts w:ascii="Times New Roman" w:hAnsi="Times New Roman" w:cs="Times New Roman"/>
                <w:sz w:val="24"/>
                <w:szCs w:val="24"/>
              </w:rPr>
            </w:pPr>
            <w:r w:rsidRPr="00A13C03">
              <w:rPr>
                <w:rFonts w:ascii="Times New Roman" w:hAnsi="Times New Roman" w:cs="Times New Roman"/>
                <w:sz w:val="24"/>
                <w:szCs w:val="24"/>
              </w:rPr>
              <w:t>0,68</w:t>
            </w:r>
          </w:p>
        </w:tc>
      </w:tr>
      <w:tr w:rsidR="00A13C03" w14:paraId="39D0F1E1" w14:textId="77777777" w:rsidTr="00A13C03">
        <w:tc>
          <w:tcPr>
            <w:tcW w:w="3652" w:type="dxa"/>
            <w:tcBorders>
              <w:top w:val="nil"/>
              <w:left w:val="nil"/>
              <w:bottom w:val="nil"/>
              <w:right w:val="nil"/>
            </w:tcBorders>
            <w:vAlign w:val="center"/>
            <w:hideMark/>
          </w:tcPr>
          <w:p w14:paraId="1555EB39" w14:textId="77777777" w:rsidR="00A13C03" w:rsidRPr="00A13C03" w:rsidRDefault="00A13C03">
            <w:pPr>
              <w:spacing w:line="360" w:lineRule="auto"/>
              <w:rPr>
                <w:rFonts w:ascii="Times New Roman" w:hAnsi="Times New Roman" w:cs="Times New Roman"/>
                <w:sz w:val="24"/>
                <w:szCs w:val="24"/>
              </w:rPr>
            </w:pPr>
            <w:r w:rsidRPr="00A13C03">
              <w:rPr>
                <w:rFonts w:ascii="Times New Roman" w:hAnsi="Times New Roman" w:cs="Times New Roman"/>
                <w:sz w:val="24"/>
                <w:szCs w:val="24"/>
              </w:rPr>
              <w:t xml:space="preserve"> P: Sueño</w:t>
            </w:r>
          </w:p>
        </w:tc>
        <w:tc>
          <w:tcPr>
            <w:tcW w:w="2701" w:type="dxa"/>
            <w:tcBorders>
              <w:top w:val="nil"/>
              <w:left w:val="nil"/>
              <w:bottom w:val="nil"/>
              <w:right w:val="nil"/>
            </w:tcBorders>
            <w:vAlign w:val="center"/>
            <w:hideMark/>
          </w:tcPr>
          <w:p w14:paraId="1C2DAAD2" w14:textId="77777777" w:rsidR="00A13C03" w:rsidRPr="00A13C03" w:rsidRDefault="00A13C03">
            <w:pPr>
              <w:spacing w:line="360" w:lineRule="auto"/>
              <w:jc w:val="center"/>
              <w:rPr>
                <w:rFonts w:ascii="Times New Roman" w:hAnsi="Times New Roman" w:cs="Times New Roman"/>
                <w:sz w:val="24"/>
                <w:szCs w:val="24"/>
              </w:rPr>
            </w:pPr>
            <w:r w:rsidRPr="00A13C03">
              <w:rPr>
                <w:rFonts w:ascii="Times New Roman" w:hAnsi="Times New Roman" w:cs="Times New Roman"/>
                <w:sz w:val="24"/>
                <w:szCs w:val="24"/>
              </w:rPr>
              <w:t>0,52</w:t>
            </w:r>
          </w:p>
        </w:tc>
        <w:tc>
          <w:tcPr>
            <w:tcW w:w="2701" w:type="dxa"/>
            <w:tcBorders>
              <w:top w:val="nil"/>
              <w:left w:val="nil"/>
              <w:bottom w:val="nil"/>
              <w:right w:val="nil"/>
            </w:tcBorders>
            <w:vAlign w:val="center"/>
            <w:hideMark/>
          </w:tcPr>
          <w:p w14:paraId="1EFF0E36" w14:textId="77777777" w:rsidR="00A13C03" w:rsidRPr="00A13C03" w:rsidRDefault="00A13C03">
            <w:pPr>
              <w:spacing w:line="360" w:lineRule="auto"/>
              <w:jc w:val="center"/>
              <w:rPr>
                <w:rFonts w:ascii="Times New Roman" w:hAnsi="Times New Roman" w:cs="Times New Roman"/>
                <w:sz w:val="24"/>
                <w:szCs w:val="24"/>
              </w:rPr>
            </w:pPr>
            <w:r w:rsidRPr="00A13C03">
              <w:rPr>
                <w:rFonts w:ascii="Times New Roman" w:hAnsi="Times New Roman" w:cs="Times New Roman"/>
                <w:sz w:val="24"/>
                <w:szCs w:val="24"/>
              </w:rPr>
              <w:t>0,46</w:t>
            </w:r>
          </w:p>
        </w:tc>
      </w:tr>
      <w:tr w:rsidR="00A13C03" w14:paraId="1A292DF3" w14:textId="77777777" w:rsidTr="00A13C03">
        <w:tc>
          <w:tcPr>
            <w:tcW w:w="3652" w:type="dxa"/>
            <w:tcBorders>
              <w:top w:val="nil"/>
              <w:left w:val="nil"/>
              <w:bottom w:val="nil"/>
              <w:right w:val="nil"/>
            </w:tcBorders>
            <w:vAlign w:val="center"/>
            <w:hideMark/>
          </w:tcPr>
          <w:p w14:paraId="1FDC0A6D" w14:textId="77777777" w:rsidR="00A13C03" w:rsidRPr="00A13C03" w:rsidRDefault="00A13C03">
            <w:pPr>
              <w:spacing w:line="360" w:lineRule="auto"/>
              <w:rPr>
                <w:rFonts w:ascii="Times New Roman" w:hAnsi="Times New Roman" w:cs="Times New Roman"/>
                <w:sz w:val="24"/>
                <w:szCs w:val="24"/>
              </w:rPr>
            </w:pPr>
            <w:r w:rsidRPr="00A13C03">
              <w:rPr>
                <w:rFonts w:ascii="Times New Roman" w:hAnsi="Times New Roman" w:cs="Times New Roman"/>
                <w:sz w:val="24"/>
                <w:szCs w:val="24"/>
              </w:rPr>
              <w:t xml:space="preserve"> Q: Cansancio</w:t>
            </w:r>
          </w:p>
        </w:tc>
        <w:tc>
          <w:tcPr>
            <w:tcW w:w="2701" w:type="dxa"/>
            <w:tcBorders>
              <w:top w:val="nil"/>
              <w:left w:val="nil"/>
              <w:bottom w:val="nil"/>
              <w:right w:val="nil"/>
            </w:tcBorders>
            <w:vAlign w:val="center"/>
            <w:hideMark/>
          </w:tcPr>
          <w:p w14:paraId="5788A83A" w14:textId="77777777" w:rsidR="00A13C03" w:rsidRPr="00A13C03" w:rsidRDefault="00A13C03">
            <w:pPr>
              <w:spacing w:line="360" w:lineRule="auto"/>
              <w:jc w:val="center"/>
              <w:rPr>
                <w:rFonts w:ascii="Times New Roman" w:hAnsi="Times New Roman" w:cs="Times New Roman"/>
                <w:sz w:val="24"/>
                <w:szCs w:val="24"/>
              </w:rPr>
            </w:pPr>
            <w:r w:rsidRPr="00A13C03">
              <w:rPr>
                <w:rFonts w:ascii="Times New Roman" w:hAnsi="Times New Roman" w:cs="Times New Roman"/>
                <w:sz w:val="24"/>
                <w:szCs w:val="24"/>
              </w:rPr>
              <w:t>0,61</w:t>
            </w:r>
          </w:p>
        </w:tc>
        <w:tc>
          <w:tcPr>
            <w:tcW w:w="2701" w:type="dxa"/>
            <w:tcBorders>
              <w:top w:val="nil"/>
              <w:left w:val="nil"/>
              <w:bottom w:val="nil"/>
              <w:right w:val="nil"/>
            </w:tcBorders>
            <w:vAlign w:val="center"/>
            <w:hideMark/>
          </w:tcPr>
          <w:p w14:paraId="30AA8E7D" w14:textId="77777777" w:rsidR="00A13C03" w:rsidRPr="00A13C03" w:rsidRDefault="00A13C03">
            <w:pPr>
              <w:spacing w:line="360" w:lineRule="auto"/>
              <w:jc w:val="center"/>
              <w:rPr>
                <w:rFonts w:ascii="Times New Roman" w:hAnsi="Times New Roman" w:cs="Times New Roman"/>
                <w:sz w:val="24"/>
                <w:szCs w:val="24"/>
              </w:rPr>
            </w:pPr>
            <w:r w:rsidRPr="00A13C03">
              <w:rPr>
                <w:rFonts w:ascii="Times New Roman" w:hAnsi="Times New Roman" w:cs="Times New Roman"/>
                <w:sz w:val="24"/>
                <w:szCs w:val="24"/>
              </w:rPr>
              <w:t>0,45</w:t>
            </w:r>
          </w:p>
        </w:tc>
      </w:tr>
      <w:tr w:rsidR="00A13C03" w14:paraId="02F5A73C" w14:textId="77777777" w:rsidTr="00A13C03">
        <w:tc>
          <w:tcPr>
            <w:tcW w:w="3652" w:type="dxa"/>
            <w:tcBorders>
              <w:top w:val="nil"/>
              <w:left w:val="nil"/>
              <w:bottom w:val="nil"/>
              <w:right w:val="nil"/>
            </w:tcBorders>
            <w:vAlign w:val="center"/>
            <w:hideMark/>
          </w:tcPr>
          <w:p w14:paraId="38D48344" w14:textId="77777777" w:rsidR="00A13C03" w:rsidRPr="00A13C03" w:rsidRDefault="00A13C03">
            <w:pPr>
              <w:spacing w:line="360" w:lineRule="auto"/>
              <w:rPr>
                <w:rFonts w:ascii="Times New Roman" w:hAnsi="Times New Roman" w:cs="Times New Roman"/>
                <w:sz w:val="24"/>
                <w:szCs w:val="24"/>
              </w:rPr>
            </w:pPr>
            <w:r w:rsidRPr="00A13C03">
              <w:rPr>
                <w:rFonts w:ascii="Times New Roman" w:hAnsi="Times New Roman" w:cs="Times New Roman"/>
                <w:sz w:val="24"/>
                <w:szCs w:val="24"/>
              </w:rPr>
              <w:t xml:space="preserve"> R: Apetito</w:t>
            </w:r>
          </w:p>
        </w:tc>
        <w:tc>
          <w:tcPr>
            <w:tcW w:w="2701" w:type="dxa"/>
            <w:tcBorders>
              <w:top w:val="nil"/>
              <w:left w:val="nil"/>
              <w:bottom w:val="nil"/>
              <w:right w:val="nil"/>
            </w:tcBorders>
            <w:vAlign w:val="center"/>
            <w:hideMark/>
          </w:tcPr>
          <w:p w14:paraId="4BBCA630" w14:textId="77777777" w:rsidR="00A13C03" w:rsidRPr="00A13C03" w:rsidRDefault="00A13C03">
            <w:pPr>
              <w:spacing w:line="360" w:lineRule="auto"/>
              <w:jc w:val="center"/>
              <w:rPr>
                <w:rFonts w:ascii="Times New Roman" w:hAnsi="Times New Roman" w:cs="Times New Roman"/>
                <w:sz w:val="24"/>
                <w:szCs w:val="24"/>
              </w:rPr>
            </w:pPr>
            <w:r w:rsidRPr="00A13C03">
              <w:rPr>
                <w:rFonts w:ascii="Times New Roman" w:hAnsi="Times New Roman" w:cs="Times New Roman"/>
                <w:sz w:val="24"/>
                <w:szCs w:val="24"/>
              </w:rPr>
              <w:t>0,53</w:t>
            </w:r>
          </w:p>
        </w:tc>
        <w:tc>
          <w:tcPr>
            <w:tcW w:w="2701" w:type="dxa"/>
            <w:tcBorders>
              <w:top w:val="nil"/>
              <w:left w:val="nil"/>
              <w:bottom w:val="nil"/>
              <w:right w:val="nil"/>
            </w:tcBorders>
            <w:vAlign w:val="center"/>
            <w:hideMark/>
          </w:tcPr>
          <w:p w14:paraId="1F405B27" w14:textId="77777777" w:rsidR="00A13C03" w:rsidRPr="00A13C03" w:rsidRDefault="00A13C03">
            <w:pPr>
              <w:spacing w:line="360" w:lineRule="auto"/>
              <w:jc w:val="center"/>
              <w:rPr>
                <w:rFonts w:ascii="Times New Roman" w:hAnsi="Times New Roman" w:cs="Times New Roman"/>
                <w:sz w:val="24"/>
                <w:szCs w:val="24"/>
              </w:rPr>
            </w:pPr>
            <w:r w:rsidRPr="00A13C03">
              <w:rPr>
                <w:rFonts w:ascii="Times New Roman" w:hAnsi="Times New Roman" w:cs="Times New Roman"/>
                <w:sz w:val="24"/>
                <w:szCs w:val="24"/>
              </w:rPr>
              <w:t>0,49</w:t>
            </w:r>
          </w:p>
        </w:tc>
      </w:tr>
      <w:tr w:rsidR="00A13C03" w14:paraId="582FC0C4" w14:textId="77777777" w:rsidTr="00A13C03">
        <w:tc>
          <w:tcPr>
            <w:tcW w:w="3652" w:type="dxa"/>
            <w:tcBorders>
              <w:top w:val="nil"/>
              <w:left w:val="nil"/>
              <w:bottom w:val="nil"/>
              <w:right w:val="nil"/>
            </w:tcBorders>
            <w:vAlign w:val="center"/>
            <w:hideMark/>
          </w:tcPr>
          <w:p w14:paraId="251D67E3" w14:textId="77777777" w:rsidR="00A13C03" w:rsidRPr="00A13C03" w:rsidRDefault="00A13C03">
            <w:pPr>
              <w:spacing w:line="360" w:lineRule="auto"/>
              <w:rPr>
                <w:rFonts w:ascii="Times New Roman" w:hAnsi="Times New Roman" w:cs="Times New Roman"/>
                <w:sz w:val="24"/>
                <w:szCs w:val="24"/>
              </w:rPr>
            </w:pPr>
            <w:r w:rsidRPr="00A13C03">
              <w:rPr>
                <w:rFonts w:ascii="Times New Roman" w:hAnsi="Times New Roman" w:cs="Times New Roman"/>
                <w:sz w:val="24"/>
                <w:szCs w:val="24"/>
              </w:rPr>
              <w:t xml:space="preserve"> S: Pérdida de peso</w:t>
            </w:r>
          </w:p>
        </w:tc>
        <w:tc>
          <w:tcPr>
            <w:tcW w:w="2701" w:type="dxa"/>
            <w:tcBorders>
              <w:top w:val="nil"/>
              <w:left w:val="nil"/>
              <w:bottom w:val="nil"/>
              <w:right w:val="nil"/>
            </w:tcBorders>
            <w:vAlign w:val="center"/>
            <w:hideMark/>
          </w:tcPr>
          <w:p w14:paraId="7427470E" w14:textId="77777777" w:rsidR="00A13C03" w:rsidRPr="00A13C03" w:rsidRDefault="00A13C03">
            <w:pPr>
              <w:spacing w:line="360" w:lineRule="auto"/>
              <w:jc w:val="center"/>
              <w:rPr>
                <w:rFonts w:ascii="Times New Roman" w:hAnsi="Times New Roman" w:cs="Times New Roman"/>
                <w:sz w:val="24"/>
                <w:szCs w:val="24"/>
              </w:rPr>
            </w:pPr>
            <w:r w:rsidRPr="00A13C03">
              <w:rPr>
                <w:rFonts w:ascii="Times New Roman" w:hAnsi="Times New Roman" w:cs="Times New Roman"/>
                <w:sz w:val="24"/>
                <w:szCs w:val="24"/>
              </w:rPr>
              <w:t>0,20</w:t>
            </w:r>
          </w:p>
        </w:tc>
        <w:tc>
          <w:tcPr>
            <w:tcW w:w="2701" w:type="dxa"/>
            <w:tcBorders>
              <w:top w:val="nil"/>
              <w:left w:val="nil"/>
              <w:bottom w:val="nil"/>
              <w:right w:val="nil"/>
            </w:tcBorders>
            <w:vAlign w:val="center"/>
            <w:hideMark/>
          </w:tcPr>
          <w:p w14:paraId="21DDE1E5" w14:textId="77777777" w:rsidR="00A13C03" w:rsidRPr="00A13C03" w:rsidRDefault="00A13C03">
            <w:pPr>
              <w:spacing w:line="360" w:lineRule="auto"/>
              <w:jc w:val="center"/>
              <w:rPr>
                <w:rFonts w:ascii="Times New Roman" w:hAnsi="Times New Roman" w:cs="Times New Roman"/>
                <w:sz w:val="24"/>
                <w:szCs w:val="24"/>
              </w:rPr>
            </w:pPr>
            <w:r w:rsidRPr="00A13C03">
              <w:rPr>
                <w:rFonts w:ascii="Times New Roman" w:hAnsi="Times New Roman" w:cs="Times New Roman"/>
                <w:sz w:val="24"/>
                <w:szCs w:val="24"/>
              </w:rPr>
              <w:t>0,15</w:t>
            </w:r>
          </w:p>
        </w:tc>
      </w:tr>
      <w:tr w:rsidR="00A13C03" w14:paraId="19931FE1" w14:textId="77777777" w:rsidTr="00A13C03">
        <w:tc>
          <w:tcPr>
            <w:tcW w:w="3652" w:type="dxa"/>
            <w:tcBorders>
              <w:top w:val="nil"/>
              <w:left w:val="nil"/>
              <w:bottom w:val="nil"/>
              <w:right w:val="nil"/>
            </w:tcBorders>
            <w:vAlign w:val="center"/>
            <w:hideMark/>
          </w:tcPr>
          <w:p w14:paraId="3B031058" w14:textId="77777777" w:rsidR="00A13C03" w:rsidRPr="00A13C03" w:rsidRDefault="00A13C03">
            <w:pPr>
              <w:spacing w:line="360" w:lineRule="auto"/>
              <w:rPr>
                <w:rFonts w:ascii="Times New Roman" w:hAnsi="Times New Roman" w:cs="Times New Roman"/>
                <w:sz w:val="24"/>
                <w:szCs w:val="24"/>
              </w:rPr>
            </w:pPr>
            <w:r w:rsidRPr="00A13C03">
              <w:rPr>
                <w:rFonts w:ascii="Times New Roman" w:hAnsi="Times New Roman" w:cs="Times New Roman"/>
                <w:sz w:val="24"/>
                <w:szCs w:val="24"/>
              </w:rPr>
              <w:t xml:space="preserve"> T: Preocupación por la salud</w:t>
            </w:r>
          </w:p>
        </w:tc>
        <w:tc>
          <w:tcPr>
            <w:tcW w:w="2701" w:type="dxa"/>
            <w:tcBorders>
              <w:top w:val="nil"/>
              <w:left w:val="nil"/>
              <w:bottom w:val="nil"/>
              <w:right w:val="nil"/>
            </w:tcBorders>
            <w:vAlign w:val="center"/>
            <w:hideMark/>
          </w:tcPr>
          <w:p w14:paraId="7F96E472" w14:textId="77777777" w:rsidR="00A13C03" w:rsidRPr="00A13C03" w:rsidRDefault="00A13C03">
            <w:pPr>
              <w:spacing w:line="360" w:lineRule="auto"/>
              <w:jc w:val="center"/>
              <w:rPr>
                <w:rFonts w:ascii="Times New Roman" w:hAnsi="Times New Roman" w:cs="Times New Roman"/>
                <w:sz w:val="24"/>
                <w:szCs w:val="24"/>
              </w:rPr>
            </w:pPr>
            <w:r w:rsidRPr="00A13C03">
              <w:rPr>
                <w:rFonts w:ascii="Times New Roman" w:hAnsi="Times New Roman" w:cs="Times New Roman"/>
                <w:sz w:val="24"/>
                <w:szCs w:val="24"/>
              </w:rPr>
              <w:t>0,47</w:t>
            </w:r>
          </w:p>
        </w:tc>
        <w:tc>
          <w:tcPr>
            <w:tcW w:w="2701" w:type="dxa"/>
            <w:tcBorders>
              <w:top w:val="nil"/>
              <w:left w:val="nil"/>
              <w:bottom w:val="nil"/>
              <w:right w:val="nil"/>
            </w:tcBorders>
            <w:vAlign w:val="center"/>
            <w:hideMark/>
          </w:tcPr>
          <w:p w14:paraId="5AC6D981" w14:textId="77777777" w:rsidR="00A13C03" w:rsidRPr="00A13C03" w:rsidRDefault="00A13C03">
            <w:pPr>
              <w:spacing w:line="360" w:lineRule="auto"/>
              <w:jc w:val="center"/>
              <w:rPr>
                <w:rFonts w:ascii="Times New Roman" w:hAnsi="Times New Roman" w:cs="Times New Roman"/>
                <w:sz w:val="24"/>
                <w:szCs w:val="24"/>
              </w:rPr>
            </w:pPr>
            <w:r w:rsidRPr="00A13C03">
              <w:rPr>
                <w:rFonts w:ascii="Times New Roman" w:hAnsi="Times New Roman" w:cs="Times New Roman"/>
                <w:sz w:val="24"/>
                <w:szCs w:val="24"/>
              </w:rPr>
              <w:t>0,32</w:t>
            </w:r>
          </w:p>
        </w:tc>
      </w:tr>
      <w:tr w:rsidR="00A13C03" w14:paraId="14941365" w14:textId="77777777" w:rsidTr="00A13C03">
        <w:tc>
          <w:tcPr>
            <w:tcW w:w="3652" w:type="dxa"/>
            <w:tcBorders>
              <w:top w:val="nil"/>
              <w:left w:val="nil"/>
              <w:bottom w:val="single" w:sz="4" w:space="0" w:color="auto"/>
              <w:right w:val="nil"/>
            </w:tcBorders>
            <w:vAlign w:val="center"/>
            <w:hideMark/>
          </w:tcPr>
          <w:p w14:paraId="3C3AB170" w14:textId="77777777" w:rsidR="00A13C03" w:rsidRPr="00A13C03" w:rsidRDefault="00A13C03">
            <w:pPr>
              <w:spacing w:line="360" w:lineRule="auto"/>
              <w:rPr>
                <w:rFonts w:ascii="Times New Roman" w:hAnsi="Times New Roman" w:cs="Times New Roman"/>
                <w:sz w:val="24"/>
                <w:szCs w:val="24"/>
              </w:rPr>
            </w:pPr>
            <w:r w:rsidRPr="00A13C03">
              <w:rPr>
                <w:rFonts w:ascii="Times New Roman" w:hAnsi="Times New Roman" w:cs="Times New Roman"/>
                <w:sz w:val="24"/>
                <w:szCs w:val="24"/>
              </w:rPr>
              <w:t xml:space="preserve"> U: Sexualidad</w:t>
            </w:r>
          </w:p>
        </w:tc>
        <w:tc>
          <w:tcPr>
            <w:tcW w:w="2701" w:type="dxa"/>
            <w:tcBorders>
              <w:top w:val="nil"/>
              <w:left w:val="nil"/>
              <w:bottom w:val="single" w:sz="4" w:space="0" w:color="auto"/>
              <w:right w:val="nil"/>
            </w:tcBorders>
            <w:vAlign w:val="center"/>
            <w:hideMark/>
          </w:tcPr>
          <w:p w14:paraId="32B5E018" w14:textId="77777777" w:rsidR="00A13C03" w:rsidRPr="00A13C03" w:rsidRDefault="00A13C03">
            <w:pPr>
              <w:spacing w:line="360" w:lineRule="auto"/>
              <w:jc w:val="center"/>
              <w:rPr>
                <w:rFonts w:ascii="Times New Roman" w:hAnsi="Times New Roman" w:cs="Times New Roman"/>
                <w:sz w:val="24"/>
                <w:szCs w:val="24"/>
              </w:rPr>
            </w:pPr>
            <w:r w:rsidRPr="00A13C03">
              <w:rPr>
                <w:rFonts w:ascii="Times New Roman" w:hAnsi="Times New Roman" w:cs="Times New Roman"/>
                <w:sz w:val="24"/>
                <w:szCs w:val="24"/>
              </w:rPr>
              <w:t>0,53</w:t>
            </w:r>
          </w:p>
        </w:tc>
        <w:tc>
          <w:tcPr>
            <w:tcW w:w="2701" w:type="dxa"/>
            <w:tcBorders>
              <w:top w:val="nil"/>
              <w:left w:val="nil"/>
              <w:bottom w:val="single" w:sz="4" w:space="0" w:color="auto"/>
              <w:right w:val="nil"/>
            </w:tcBorders>
            <w:vAlign w:val="center"/>
            <w:hideMark/>
          </w:tcPr>
          <w:p w14:paraId="0662BA5C" w14:textId="77777777" w:rsidR="00A13C03" w:rsidRPr="00A13C03" w:rsidRDefault="00A13C03">
            <w:pPr>
              <w:spacing w:line="360" w:lineRule="auto"/>
              <w:jc w:val="center"/>
              <w:rPr>
                <w:rFonts w:ascii="Times New Roman" w:hAnsi="Times New Roman" w:cs="Times New Roman"/>
                <w:sz w:val="24"/>
                <w:szCs w:val="24"/>
              </w:rPr>
            </w:pPr>
            <w:r w:rsidRPr="00A13C03">
              <w:rPr>
                <w:rFonts w:ascii="Times New Roman" w:hAnsi="Times New Roman" w:cs="Times New Roman"/>
                <w:sz w:val="24"/>
                <w:szCs w:val="24"/>
              </w:rPr>
              <w:t>0,35</w:t>
            </w:r>
          </w:p>
        </w:tc>
      </w:tr>
    </w:tbl>
    <w:p w14:paraId="169B91D6" w14:textId="0FB8D778" w:rsidR="00A13C03" w:rsidRPr="00A13C03" w:rsidRDefault="00A13C03" w:rsidP="00526A27">
      <w:pPr>
        <w:spacing w:line="360" w:lineRule="auto"/>
        <w:jc w:val="both"/>
        <w:rPr>
          <w:rFonts w:ascii="Times New Roman" w:hAnsi="Times New Roman" w:cs="Times New Roman"/>
          <w:sz w:val="20"/>
          <w:szCs w:val="20"/>
        </w:rPr>
      </w:pPr>
      <w:r w:rsidRPr="00A13C03">
        <w:rPr>
          <w:rFonts w:ascii="Times New Roman" w:hAnsi="Times New Roman" w:cs="Times New Roman"/>
          <w:sz w:val="20"/>
          <w:szCs w:val="20"/>
        </w:rPr>
        <w:t xml:space="preserve">Nota: </w:t>
      </w:r>
      <w:r w:rsidRPr="00A13C03">
        <w:rPr>
          <w:rFonts w:ascii="Times New Roman" w:hAnsi="Times New Roman" w:cs="Times New Roman"/>
          <w:sz w:val="20"/>
          <w:szCs w:val="20"/>
          <w:vertAlign w:val="superscript"/>
        </w:rPr>
        <w:t>a</w:t>
      </w:r>
      <w:r w:rsidRPr="00A13C03">
        <w:rPr>
          <w:rFonts w:ascii="Times New Roman" w:hAnsi="Times New Roman" w:cs="Times New Roman"/>
          <w:sz w:val="20"/>
          <w:szCs w:val="20"/>
        </w:rPr>
        <w:t xml:space="preserve"> Cargas Factorial Estandarizadas. Todos los ítems significativos p &lt; 0,05.</w:t>
      </w:r>
    </w:p>
    <w:p w14:paraId="4814A7C5" w14:textId="77777777" w:rsidR="00A13C03" w:rsidRDefault="00A13C03" w:rsidP="00526A27">
      <w:pPr>
        <w:spacing w:line="360" w:lineRule="auto"/>
        <w:jc w:val="both"/>
        <w:rPr>
          <w:rFonts w:ascii="Times New Roman" w:hAnsi="Times New Roman" w:cs="Times New Roman"/>
          <w:b/>
          <w:i/>
          <w:sz w:val="24"/>
          <w:szCs w:val="24"/>
        </w:rPr>
      </w:pPr>
    </w:p>
    <w:p w14:paraId="34C2001E" w14:textId="1293B85E" w:rsidR="00A72AD8" w:rsidRPr="0052103D" w:rsidRDefault="00A72AD8" w:rsidP="00526A27">
      <w:pPr>
        <w:spacing w:line="360" w:lineRule="auto"/>
        <w:jc w:val="both"/>
        <w:rPr>
          <w:rFonts w:ascii="Times New Roman" w:hAnsi="Times New Roman" w:cs="Times New Roman"/>
          <w:b/>
          <w:i/>
          <w:sz w:val="24"/>
          <w:szCs w:val="24"/>
        </w:rPr>
      </w:pPr>
      <w:r w:rsidRPr="0052103D">
        <w:rPr>
          <w:rFonts w:ascii="Times New Roman" w:hAnsi="Times New Roman" w:cs="Times New Roman"/>
          <w:b/>
          <w:i/>
          <w:sz w:val="24"/>
          <w:szCs w:val="24"/>
        </w:rPr>
        <w:t>Puntaje de Corte</w:t>
      </w:r>
    </w:p>
    <w:p w14:paraId="509125C8" w14:textId="5824FD8F" w:rsidR="00A13C03" w:rsidRDefault="00A72AD8" w:rsidP="00526A27">
      <w:pPr>
        <w:spacing w:line="360" w:lineRule="auto"/>
        <w:jc w:val="both"/>
        <w:rPr>
          <w:rFonts w:ascii="Times New Roman" w:hAnsi="Times New Roman" w:cs="Times New Roman"/>
          <w:sz w:val="24"/>
          <w:szCs w:val="24"/>
        </w:rPr>
      </w:pPr>
      <w:r w:rsidRPr="00526A27">
        <w:rPr>
          <w:rFonts w:ascii="Times New Roman" w:hAnsi="Times New Roman" w:cs="Times New Roman"/>
          <w:sz w:val="24"/>
          <w:szCs w:val="24"/>
        </w:rPr>
        <w:t xml:space="preserve">Curva ROC. Se calculó la curva ROC para la totalidad de la muestra tomando el puntaje total del BDI-IA, calculado como la suma de los puntajes en cada uno de los ítems, y la separación entre el grupo con diagnóstico clínico de depresión y el grupo sin diagnóstico conocido. El gráfico asociado a esta curva puede observarse en la Figura </w:t>
      </w:r>
      <w:r w:rsidR="00A13C03">
        <w:rPr>
          <w:rFonts w:ascii="Times New Roman" w:hAnsi="Times New Roman" w:cs="Times New Roman"/>
          <w:sz w:val="24"/>
          <w:szCs w:val="24"/>
        </w:rPr>
        <w:t>2.</w:t>
      </w:r>
      <w:r w:rsidRPr="00526A27">
        <w:rPr>
          <w:rFonts w:ascii="Times New Roman" w:hAnsi="Times New Roman" w:cs="Times New Roman"/>
          <w:sz w:val="24"/>
          <w:szCs w:val="24"/>
        </w:rPr>
        <w:t>2. El área bajo la curva (AUC) calculada fue de 0,954. El punto de corte de 10, que corresponde al propuesto en la creación del instrumento (</w:t>
      </w:r>
      <w:r w:rsidR="00D56197">
        <w:rPr>
          <w:rFonts w:ascii="Times New Roman" w:hAnsi="Times New Roman" w:cs="Times New Roman"/>
          <w:sz w:val="24"/>
          <w:szCs w:val="24"/>
        </w:rPr>
        <w:t>Beck et al., 1961</w:t>
      </w:r>
      <w:r w:rsidRPr="00526A27">
        <w:rPr>
          <w:rFonts w:ascii="Times New Roman" w:hAnsi="Times New Roman" w:cs="Times New Roman"/>
          <w:sz w:val="24"/>
          <w:szCs w:val="24"/>
        </w:rPr>
        <w:t xml:space="preserve">), presentó una especificidad de 80% y una sensibilidad del 92,86%. El método de </w:t>
      </w:r>
      <w:proofErr w:type="spellStart"/>
      <w:r w:rsidRPr="00526A27">
        <w:rPr>
          <w:rFonts w:ascii="Times New Roman" w:hAnsi="Times New Roman" w:cs="Times New Roman"/>
          <w:sz w:val="24"/>
          <w:szCs w:val="24"/>
        </w:rPr>
        <w:t>Youden</w:t>
      </w:r>
      <w:proofErr w:type="spellEnd"/>
      <w:r w:rsidRPr="00526A27">
        <w:rPr>
          <w:rFonts w:ascii="Times New Roman" w:hAnsi="Times New Roman" w:cs="Times New Roman"/>
          <w:sz w:val="24"/>
          <w:szCs w:val="24"/>
        </w:rPr>
        <w:t xml:space="preserve"> entregó un punto de corte óptimo igual a 13,8, presentando una especificidad de 85,72% y una sensibilidad de 90,81%. El puntaje de corte óptimo </w:t>
      </w:r>
      <w:r w:rsidRPr="00526A27">
        <w:rPr>
          <w:rFonts w:ascii="Times New Roman" w:hAnsi="Times New Roman" w:cs="Times New Roman"/>
          <w:sz w:val="24"/>
          <w:szCs w:val="24"/>
        </w:rPr>
        <w:lastRenderedPageBreak/>
        <w:t xml:space="preserve">entregado por el método de cercanía al vértice superior izquierdo es de 11,5, presentando una especificidad de 85,73% y una sensibilidad de 86,73%. </w:t>
      </w:r>
    </w:p>
    <w:p w14:paraId="0A870ADF" w14:textId="0B9CC968" w:rsidR="00A13C03" w:rsidRPr="00A13C03" w:rsidRDefault="00A13C03" w:rsidP="00A13C03">
      <w:pPr>
        <w:spacing w:line="360" w:lineRule="auto"/>
        <w:contextualSpacing/>
        <w:rPr>
          <w:rFonts w:ascii="Times New Roman" w:hAnsi="Times New Roman" w:cs="Times New Roman"/>
          <w:sz w:val="20"/>
          <w:szCs w:val="20"/>
        </w:rPr>
      </w:pPr>
      <w:r w:rsidRPr="00A13C03">
        <w:rPr>
          <w:rFonts w:ascii="Times New Roman" w:hAnsi="Times New Roman" w:cs="Times New Roman"/>
          <w:b/>
          <w:sz w:val="20"/>
          <w:szCs w:val="20"/>
        </w:rPr>
        <w:t>Figura 2.</w:t>
      </w:r>
      <w:r w:rsidRPr="00A13C03">
        <w:rPr>
          <w:rFonts w:ascii="Times New Roman" w:hAnsi="Times New Roman" w:cs="Times New Roman"/>
          <w:sz w:val="20"/>
          <w:szCs w:val="20"/>
        </w:rPr>
        <w:t xml:space="preserve"> Curva ROC </w:t>
      </w:r>
    </w:p>
    <w:p w14:paraId="58B9E0F9" w14:textId="2C7A4FB2" w:rsidR="00A13C03" w:rsidRPr="00A13C03" w:rsidRDefault="00A13C03" w:rsidP="00A13C03">
      <w:pPr>
        <w:spacing w:line="360" w:lineRule="auto"/>
        <w:rPr>
          <w:rFonts w:ascii="Arial" w:hAnsi="Arial" w:cs="Arial"/>
          <w:sz w:val="24"/>
          <w:szCs w:val="24"/>
        </w:rPr>
      </w:pPr>
      <w:r>
        <w:rPr>
          <w:noProof/>
          <w:lang w:eastAsia="es-CL"/>
        </w:rPr>
        <w:drawing>
          <wp:inline distT="0" distB="0" distL="0" distR="0" wp14:anchorId="5395C517" wp14:editId="4BCFB434">
            <wp:extent cx="5608320" cy="4701540"/>
            <wp:effectExtent l="0" t="0" r="0" b="381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08320" cy="4701540"/>
                    </a:xfrm>
                    <a:prstGeom prst="rect">
                      <a:avLst/>
                    </a:prstGeom>
                    <a:noFill/>
                    <a:ln>
                      <a:noFill/>
                    </a:ln>
                  </pic:spPr>
                </pic:pic>
              </a:graphicData>
            </a:graphic>
          </wp:inline>
        </w:drawing>
      </w:r>
    </w:p>
    <w:p w14:paraId="3AC3E346" w14:textId="18BD48F0" w:rsidR="00A72AD8" w:rsidRPr="0052103D" w:rsidRDefault="00A72AD8" w:rsidP="00526A27">
      <w:pPr>
        <w:spacing w:line="360" w:lineRule="auto"/>
        <w:jc w:val="both"/>
        <w:rPr>
          <w:rFonts w:ascii="Times New Roman" w:hAnsi="Times New Roman" w:cs="Times New Roman"/>
          <w:b/>
          <w:sz w:val="24"/>
          <w:szCs w:val="24"/>
        </w:rPr>
      </w:pPr>
      <w:r w:rsidRPr="0052103D">
        <w:rPr>
          <w:rFonts w:ascii="Times New Roman" w:hAnsi="Times New Roman" w:cs="Times New Roman"/>
          <w:b/>
          <w:sz w:val="24"/>
          <w:szCs w:val="24"/>
        </w:rPr>
        <w:t>Discusión</w:t>
      </w:r>
    </w:p>
    <w:p w14:paraId="07F2C6C8" w14:textId="05FC9E48" w:rsidR="00A72AD8" w:rsidRPr="00526A27" w:rsidRDefault="00A72AD8" w:rsidP="00526A27">
      <w:pPr>
        <w:spacing w:line="360" w:lineRule="auto"/>
        <w:jc w:val="both"/>
        <w:rPr>
          <w:rFonts w:ascii="Times New Roman" w:hAnsi="Times New Roman" w:cs="Times New Roman"/>
          <w:sz w:val="24"/>
          <w:szCs w:val="24"/>
        </w:rPr>
      </w:pPr>
      <w:r w:rsidRPr="00526A27">
        <w:rPr>
          <w:rFonts w:ascii="Times New Roman" w:hAnsi="Times New Roman" w:cs="Times New Roman"/>
          <w:iCs/>
          <w:sz w:val="24"/>
          <w:szCs w:val="24"/>
        </w:rPr>
        <w:t>Los resultados del presente estudio muestran que la adaptación chilena del BDI-IA posee una consistencia interna adecuada (</w:t>
      </w:r>
      <w:r w:rsidRPr="00526A27">
        <w:rPr>
          <w:rFonts w:ascii="Times New Roman" w:hAnsi="Times New Roman" w:cs="Times New Roman"/>
          <w:sz w:val="24"/>
          <w:szCs w:val="24"/>
        </w:rPr>
        <w:t>α=.92</w:t>
      </w:r>
      <w:r w:rsidRPr="00526A27">
        <w:rPr>
          <w:rFonts w:ascii="Times New Roman" w:hAnsi="Times New Roman" w:cs="Times New Roman"/>
          <w:iCs/>
          <w:sz w:val="24"/>
          <w:szCs w:val="24"/>
        </w:rPr>
        <w:t>), muy similar a la reportada en la versión original (</w:t>
      </w:r>
      <w:r w:rsidRPr="00526A27">
        <w:rPr>
          <w:rFonts w:ascii="Times New Roman" w:hAnsi="Times New Roman" w:cs="Times New Roman"/>
          <w:sz w:val="24"/>
          <w:szCs w:val="24"/>
        </w:rPr>
        <w:t>α=.88) (</w:t>
      </w:r>
      <w:r w:rsidR="00D56197">
        <w:rPr>
          <w:rFonts w:ascii="Times New Roman" w:hAnsi="Times New Roman" w:cs="Times New Roman"/>
          <w:sz w:val="24"/>
          <w:szCs w:val="24"/>
        </w:rPr>
        <w:t>Beck et al., 1961</w:t>
      </w:r>
      <w:r w:rsidRPr="00526A27">
        <w:rPr>
          <w:rFonts w:ascii="Times New Roman" w:hAnsi="Times New Roman" w:cs="Times New Roman"/>
          <w:sz w:val="24"/>
          <w:szCs w:val="24"/>
        </w:rPr>
        <w:t>) y a la revisión posterior del año 1979 (α=.86) (</w:t>
      </w:r>
      <w:r w:rsidR="00D56197">
        <w:rPr>
          <w:rFonts w:ascii="Times New Roman" w:hAnsi="Times New Roman" w:cs="Times New Roman"/>
          <w:sz w:val="24"/>
          <w:szCs w:val="24"/>
        </w:rPr>
        <w:t>Beck, Rush, Shaw y Emery, 1979</w:t>
      </w:r>
      <w:r w:rsidRPr="00526A27">
        <w:rPr>
          <w:rFonts w:ascii="Times New Roman" w:hAnsi="Times New Roman" w:cs="Times New Roman"/>
          <w:sz w:val="24"/>
          <w:szCs w:val="24"/>
        </w:rPr>
        <w:t>). Del mismo modo, los resultados también son comparables con otras versiones del BDI-IA en español como la versión mexicana (α=.78) (</w:t>
      </w:r>
      <w:r w:rsidR="00D56197">
        <w:rPr>
          <w:rFonts w:ascii="Times New Roman" w:hAnsi="Times New Roman" w:cs="Times New Roman"/>
          <w:sz w:val="24"/>
          <w:szCs w:val="24"/>
        </w:rPr>
        <w:t>Jurado, Villegas, Méndez, Rodríguez, Lorena y Varela, 1998</w:t>
      </w:r>
      <w:r w:rsidRPr="00526A27">
        <w:rPr>
          <w:rFonts w:ascii="Times New Roman" w:hAnsi="Times New Roman" w:cs="Times New Roman"/>
          <w:sz w:val="24"/>
          <w:szCs w:val="24"/>
        </w:rPr>
        <w:t>); las versiones españolas reportadas por Ibáñez, Peñate, y González, α= 73 (27), y Sanz y Vázquez, α=.83, (</w:t>
      </w:r>
      <w:r w:rsidR="00D56197">
        <w:rPr>
          <w:rFonts w:ascii="Times New Roman" w:hAnsi="Times New Roman" w:cs="Times New Roman"/>
          <w:sz w:val="24"/>
          <w:szCs w:val="24"/>
        </w:rPr>
        <w:t>Sanz y Vásquez, 1998</w:t>
      </w:r>
      <w:r w:rsidRPr="00526A27">
        <w:rPr>
          <w:rFonts w:ascii="Times New Roman" w:hAnsi="Times New Roman" w:cs="Times New Roman"/>
          <w:sz w:val="24"/>
          <w:szCs w:val="24"/>
        </w:rPr>
        <w:t>); la versión puertorriqueña, α=.88 (</w:t>
      </w:r>
      <w:r w:rsidR="00D56197">
        <w:rPr>
          <w:rFonts w:ascii="Times New Roman" w:hAnsi="Times New Roman" w:cs="Times New Roman"/>
          <w:sz w:val="24"/>
          <w:szCs w:val="24"/>
        </w:rPr>
        <w:t>Bonilla, Bernal, Santos y Santos, 2004</w:t>
      </w:r>
      <w:r w:rsidRPr="00526A27">
        <w:rPr>
          <w:rFonts w:ascii="Times New Roman" w:hAnsi="Times New Roman" w:cs="Times New Roman"/>
          <w:sz w:val="24"/>
          <w:szCs w:val="24"/>
        </w:rPr>
        <w:t xml:space="preserve">) y la versión Argentina, α=.80 </w:t>
      </w:r>
      <w:r w:rsidRPr="00526A27">
        <w:rPr>
          <w:rFonts w:ascii="Times New Roman" w:hAnsi="Times New Roman" w:cs="Times New Roman"/>
          <w:sz w:val="24"/>
          <w:szCs w:val="24"/>
        </w:rPr>
        <w:lastRenderedPageBreak/>
        <w:t>(</w:t>
      </w:r>
      <w:r w:rsidR="00D56197">
        <w:rPr>
          <w:rFonts w:ascii="Times New Roman" w:hAnsi="Times New Roman" w:cs="Times New Roman"/>
          <w:sz w:val="24"/>
          <w:szCs w:val="24"/>
        </w:rPr>
        <w:t>Posada, 2005</w:t>
      </w:r>
      <w:r w:rsidRPr="00526A27">
        <w:rPr>
          <w:rFonts w:ascii="Times New Roman" w:hAnsi="Times New Roman" w:cs="Times New Roman"/>
          <w:sz w:val="24"/>
          <w:szCs w:val="24"/>
        </w:rPr>
        <w:t>). Estos valores indican que el BDI-IA es un instrumento confiable para detectar sintomatología depresiva, aportando evidencia que apoya su valor transcultural en tanto evalúa un síndrome de depresión general de síntomas interrelacionados, tal como lo define Beck y colaboradores en su versión original del año 1961 (</w:t>
      </w:r>
      <w:r w:rsidR="00D56197">
        <w:rPr>
          <w:rFonts w:ascii="Times New Roman" w:hAnsi="Times New Roman" w:cs="Times New Roman"/>
          <w:sz w:val="24"/>
          <w:szCs w:val="24"/>
        </w:rPr>
        <w:t>Beck et al., 1961</w:t>
      </w:r>
      <w:r w:rsidRPr="00526A27">
        <w:rPr>
          <w:rFonts w:ascii="Times New Roman" w:hAnsi="Times New Roman" w:cs="Times New Roman"/>
          <w:sz w:val="24"/>
          <w:szCs w:val="24"/>
        </w:rPr>
        <w:t>), pudiendo ser usado en la población general.</w:t>
      </w:r>
    </w:p>
    <w:p w14:paraId="07C08BAD" w14:textId="0EB7D605" w:rsidR="00A72AD8" w:rsidRPr="00526A27" w:rsidRDefault="00A72AD8" w:rsidP="00526A27">
      <w:pPr>
        <w:spacing w:line="360" w:lineRule="auto"/>
        <w:jc w:val="both"/>
        <w:rPr>
          <w:rFonts w:ascii="Times New Roman" w:hAnsi="Times New Roman" w:cs="Times New Roman"/>
          <w:sz w:val="24"/>
          <w:szCs w:val="24"/>
        </w:rPr>
      </w:pPr>
      <w:r w:rsidRPr="00526A27">
        <w:rPr>
          <w:rFonts w:ascii="Times New Roman" w:hAnsi="Times New Roman" w:cs="Times New Roman"/>
          <w:sz w:val="24"/>
          <w:szCs w:val="24"/>
        </w:rPr>
        <w:t>Por otra parte, el instrumento mostró una estructural factorial que difiere de la solución propuesta la versión original (</w:t>
      </w:r>
      <w:r w:rsidR="00D56197">
        <w:rPr>
          <w:rFonts w:ascii="Times New Roman" w:hAnsi="Times New Roman" w:cs="Times New Roman"/>
          <w:sz w:val="24"/>
          <w:szCs w:val="24"/>
        </w:rPr>
        <w:t>Beck et al., 1961</w:t>
      </w:r>
      <w:r w:rsidRPr="00526A27">
        <w:rPr>
          <w:rFonts w:ascii="Times New Roman" w:hAnsi="Times New Roman" w:cs="Times New Roman"/>
          <w:sz w:val="24"/>
          <w:szCs w:val="24"/>
        </w:rPr>
        <w:t xml:space="preserve">). En este estudio, la solución factorial más adecuada para el instrumento es la de un único factor de primer orden que engloba los 21 ítems que componen el inventario. Esta solución fue corroborada a través del AFC, cuyos resultados indican un buen ajuste del modelo. Otras versiones en español del instrumento (Ver Tabla </w:t>
      </w:r>
      <w:r w:rsidR="00A61758">
        <w:rPr>
          <w:rFonts w:ascii="Times New Roman" w:hAnsi="Times New Roman" w:cs="Times New Roman"/>
          <w:sz w:val="24"/>
          <w:szCs w:val="24"/>
        </w:rPr>
        <w:t>2.</w:t>
      </w:r>
      <w:r w:rsidRPr="00526A27">
        <w:rPr>
          <w:rFonts w:ascii="Times New Roman" w:hAnsi="Times New Roman" w:cs="Times New Roman"/>
          <w:sz w:val="24"/>
          <w:szCs w:val="24"/>
        </w:rPr>
        <w:t>3) presentaron soluciones diversas, como la versión mexicana que presenta una solución de tres factores (</w:t>
      </w:r>
      <w:r w:rsidR="00D56197">
        <w:rPr>
          <w:rFonts w:ascii="Times New Roman" w:hAnsi="Times New Roman" w:cs="Times New Roman"/>
          <w:sz w:val="24"/>
          <w:szCs w:val="24"/>
        </w:rPr>
        <w:t>Jurado et al., 1998</w:t>
      </w:r>
      <w:r w:rsidRPr="00526A27">
        <w:rPr>
          <w:rFonts w:ascii="Times New Roman" w:hAnsi="Times New Roman" w:cs="Times New Roman"/>
          <w:sz w:val="24"/>
          <w:szCs w:val="24"/>
        </w:rPr>
        <w:t xml:space="preserve">), la versión argentina que obtuvo una solución </w:t>
      </w:r>
      <w:proofErr w:type="spellStart"/>
      <w:r w:rsidRPr="00526A27">
        <w:rPr>
          <w:rFonts w:ascii="Times New Roman" w:hAnsi="Times New Roman" w:cs="Times New Roman"/>
          <w:sz w:val="24"/>
          <w:szCs w:val="24"/>
        </w:rPr>
        <w:t>bi-factorial</w:t>
      </w:r>
      <w:proofErr w:type="spellEnd"/>
      <w:r w:rsidRPr="00526A27">
        <w:rPr>
          <w:rFonts w:ascii="Times New Roman" w:hAnsi="Times New Roman" w:cs="Times New Roman"/>
          <w:sz w:val="24"/>
          <w:szCs w:val="24"/>
        </w:rPr>
        <w:t xml:space="preserve"> (</w:t>
      </w:r>
      <w:r w:rsidR="00D56197">
        <w:rPr>
          <w:rFonts w:ascii="Times New Roman" w:hAnsi="Times New Roman" w:cs="Times New Roman"/>
          <w:sz w:val="24"/>
          <w:szCs w:val="24"/>
        </w:rPr>
        <w:t>Posada, 2005</w:t>
      </w:r>
      <w:r w:rsidRPr="00526A27">
        <w:rPr>
          <w:rFonts w:ascii="Times New Roman" w:hAnsi="Times New Roman" w:cs="Times New Roman"/>
          <w:sz w:val="24"/>
          <w:szCs w:val="24"/>
        </w:rPr>
        <w:t>), la versión puertorriqueña que obtuvo una solución de cuatro factores (</w:t>
      </w:r>
      <w:r w:rsidR="00D56197">
        <w:rPr>
          <w:rFonts w:ascii="Times New Roman" w:hAnsi="Times New Roman" w:cs="Times New Roman"/>
          <w:sz w:val="24"/>
          <w:szCs w:val="24"/>
        </w:rPr>
        <w:t>Bonilla et al., 2004</w:t>
      </w:r>
      <w:r w:rsidRPr="00526A27">
        <w:rPr>
          <w:rFonts w:ascii="Times New Roman" w:hAnsi="Times New Roman" w:cs="Times New Roman"/>
          <w:sz w:val="24"/>
          <w:szCs w:val="24"/>
        </w:rPr>
        <w:t>) y la versión española que obtuvo una solución de seis factores (</w:t>
      </w:r>
      <w:r w:rsidR="00D56197">
        <w:rPr>
          <w:rFonts w:ascii="Times New Roman" w:hAnsi="Times New Roman" w:cs="Times New Roman"/>
          <w:sz w:val="24"/>
          <w:szCs w:val="24"/>
        </w:rPr>
        <w:t>Ibáñez, Peñate y González, 1997</w:t>
      </w:r>
      <w:r w:rsidRPr="00526A27">
        <w:rPr>
          <w:rFonts w:ascii="Times New Roman" w:hAnsi="Times New Roman" w:cs="Times New Roman"/>
          <w:sz w:val="24"/>
          <w:szCs w:val="24"/>
        </w:rPr>
        <w:t xml:space="preserve">). Estas diferencias podrían entenderse por múltiples razones, tanto metodológicas como estadísticas. </w:t>
      </w:r>
    </w:p>
    <w:p w14:paraId="00BB14FD" w14:textId="77777777" w:rsidR="00A72AD8" w:rsidRPr="00526A27" w:rsidRDefault="00A72AD8" w:rsidP="00526A27">
      <w:pPr>
        <w:spacing w:line="360" w:lineRule="auto"/>
        <w:jc w:val="both"/>
        <w:rPr>
          <w:rFonts w:ascii="Times New Roman" w:hAnsi="Times New Roman" w:cs="Times New Roman"/>
          <w:sz w:val="24"/>
          <w:szCs w:val="24"/>
        </w:rPr>
      </w:pPr>
      <w:r w:rsidRPr="00526A27">
        <w:rPr>
          <w:rFonts w:ascii="Times New Roman" w:hAnsi="Times New Roman" w:cs="Times New Roman"/>
          <w:sz w:val="24"/>
          <w:szCs w:val="24"/>
        </w:rPr>
        <w:t xml:space="preserve">En términos metodológicos, es importante considerar las discrepancias en los procedimientos de adaptación del instrumento, teniendo en cuenta que los inventarios se han elaborado adaptando diversas versiones del original en inglés, y que incluso presentan variaciones en el número de ítems (versiones de 19, 21 y 22 ítems). Otro aspecto metodológico que debe contemplarse, es el tipo de muestra con que se han realizado los estudios. El presente estudio incluyó una muestra compuesta tanto por personas con diagnóstico clínico de depresión como por personas sin diagnóstico conocido de trastornos mentales, mientras que en las otras versiones aplicadas a población hispanoparlante sólo fueron incluidas muestras no clínicas. </w:t>
      </w:r>
    </w:p>
    <w:p w14:paraId="2420D6AC" w14:textId="1FCB95A4" w:rsidR="00A72AD8" w:rsidRPr="00526A27" w:rsidRDefault="00A72AD8" w:rsidP="00526A27">
      <w:pPr>
        <w:spacing w:line="360" w:lineRule="auto"/>
        <w:jc w:val="both"/>
        <w:rPr>
          <w:rFonts w:ascii="Times New Roman" w:hAnsi="Times New Roman" w:cs="Times New Roman"/>
          <w:sz w:val="24"/>
          <w:szCs w:val="24"/>
        </w:rPr>
      </w:pPr>
      <w:r w:rsidRPr="00526A27">
        <w:rPr>
          <w:rFonts w:ascii="Times New Roman" w:hAnsi="Times New Roman" w:cs="Times New Roman"/>
          <w:sz w:val="24"/>
          <w:szCs w:val="24"/>
        </w:rPr>
        <w:t xml:space="preserve">En relación a los procedimientos estadísticos se observan amplias diferencias en los métodos utilizados para evaluar la validez del instrumento. En primer lugar, las versiones argentina, puertorriqueña y española del instrumento efectúan un Análisis de Componentes Principales (ACP), es decir, se extraen </w:t>
      </w:r>
      <w:r w:rsidRPr="00526A27">
        <w:rPr>
          <w:rFonts w:ascii="Times New Roman" w:hAnsi="Times New Roman" w:cs="Times New Roman"/>
          <w:i/>
          <w:sz w:val="24"/>
          <w:szCs w:val="24"/>
        </w:rPr>
        <w:t>componentes</w:t>
      </w:r>
      <w:r w:rsidRPr="00526A27">
        <w:rPr>
          <w:rFonts w:ascii="Times New Roman" w:hAnsi="Times New Roman" w:cs="Times New Roman"/>
          <w:sz w:val="24"/>
          <w:szCs w:val="24"/>
        </w:rPr>
        <w:t xml:space="preserve"> para reducir al máximo las dimensiones del instrumento, pero no se extraen </w:t>
      </w:r>
      <w:r w:rsidRPr="00526A27">
        <w:rPr>
          <w:rFonts w:ascii="Times New Roman" w:hAnsi="Times New Roman" w:cs="Times New Roman"/>
          <w:i/>
          <w:sz w:val="24"/>
          <w:szCs w:val="24"/>
        </w:rPr>
        <w:t xml:space="preserve">factores </w:t>
      </w:r>
      <w:r w:rsidRPr="00526A27">
        <w:rPr>
          <w:rFonts w:ascii="Times New Roman" w:hAnsi="Times New Roman" w:cs="Times New Roman"/>
          <w:sz w:val="24"/>
          <w:szCs w:val="24"/>
        </w:rPr>
        <w:t>en el estricto significado del término (</w:t>
      </w:r>
      <w:r w:rsidR="00D56197">
        <w:rPr>
          <w:rFonts w:ascii="Times New Roman" w:hAnsi="Times New Roman" w:cs="Times New Roman"/>
          <w:sz w:val="24"/>
          <w:szCs w:val="24"/>
        </w:rPr>
        <w:t xml:space="preserve">Floyd y </w:t>
      </w:r>
      <w:proofErr w:type="spellStart"/>
      <w:r w:rsidR="00D56197">
        <w:rPr>
          <w:rFonts w:ascii="Times New Roman" w:hAnsi="Times New Roman" w:cs="Times New Roman"/>
          <w:sz w:val="24"/>
          <w:szCs w:val="24"/>
        </w:rPr>
        <w:t>Widaman</w:t>
      </w:r>
      <w:proofErr w:type="spellEnd"/>
      <w:r w:rsidR="00D56197">
        <w:rPr>
          <w:rFonts w:ascii="Times New Roman" w:hAnsi="Times New Roman" w:cs="Times New Roman"/>
          <w:sz w:val="24"/>
          <w:szCs w:val="24"/>
        </w:rPr>
        <w:t xml:space="preserve">, 1995; </w:t>
      </w:r>
      <w:proofErr w:type="spellStart"/>
      <w:r w:rsidR="00D56197">
        <w:rPr>
          <w:rFonts w:ascii="Times New Roman" w:hAnsi="Times New Roman" w:cs="Times New Roman"/>
          <w:sz w:val="24"/>
          <w:szCs w:val="24"/>
        </w:rPr>
        <w:t>Costello</w:t>
      </w:r>
      <w:proofErr w:type="spellEnd"/>
      <w:r w:rsidR="00D56197">
        <w:rPr>
          <w:rFonts w:ascii="Times New Roman" w:hAnsi="Times New Roman" w:cs="Times New Roman"/>
          <w:sz w:val="24"/>
          <w:szCs w:val="24"/>
        </w:rPr>
        <w:t xml:space="preserve"> y Osborne, 2005</w:t>
      </w:r>
      <w:r w:rsidRPr="00526A27">
        <w:rPr>
          <w:rFonts w:ascii="Times New Roman" w:hAnsi="Times New Roman" w:cs="Times New Roman"/>
          <w:sz w:val="24"/>
          <w:szCs w:val="24"/>
        </w:rPr>
        <w:t xml:space="preserve">). Al realizar el AFE, la varianza de un ítem es </w:t>
      </w:r>
      <w:r w:rsidRPr="00526A27">
        <w:rPr>
          <w:rFonts w:ascii="Times New Roman" w:hAnsi="Times New Roman" w:cs="Times New Roman"/>
          <w:sz w:val="24"/>
          <w:szCs w:val="24"/>
        </w:rPr>
        <w:lastRenderedPageBreak/>
        <w:t>particionada en una varianza compartida y en una varianza error, siendo esta varianza en común la que permite dar cuenta de la estructura factorial a la base del instrumento, en cambio el ACP no discrimina entre estas dos fuentes de varianza, pudiendo –bajo determinadas circunstancias– generar soluciones no estables y/o sobreestimar la varianza explicada por los factores (</w:t>
      </w:r>
      <w:proofErr w:type="spellStart"/>
      <w:r w:rsidR="00D56197">
        <w:rPr>
          <w:rFonts w:ascii="Times New Roman" w:hAnsi="Times New Roman" w:cs="Times New Roman"/>
          <w:sz w:val="24"/>
          <w:szCs w:val="24"/>
        </w:rPr>
        <w:t>Costello</w:t>
      </w:r>
      <w:proofErr w:type="spellEnd"/>
      <w:r w:rsidR="00D56197">
        <w:rPr>
          <w:rFonts w:ascii="Times New Roman" w:hAnsi="Times New Roman" w:cs="Times New Roman"/>
          <w:sz w:val="24"/>
          <w:szCs w:val="24"/>
        </w:rPr>
        <w:t xml:space="preserve"> y Osborne, 2005</w:t>
      </w:r>
      <w:r w:rsidRPr="00526A27">
        <w:rPr>
          <w:rFonts w:ascii="Times New Roman" w:hAnsi="Times New Roman" w:cs="Times New Roman"/>
          <w:sz w:val="24"/>
          <w:szCs w:val="24"/>
        </w:rPr>
        <w:t xml:space="preserve">). </w:t>
      </w:r>
    </w:p>
    <w:p w14:paraId="1AD85722" w14:textId="2A1F231A" w:rsidR="00A72AD8" w:rsidRPr="00526A27" w:rsidRDefault="00A72AD8" w:rsidP="00526A27">
      <w:pPr>
        <w:spacing w:line="360" w:lineRule="auto"/>
        <w:jc w:val="both"/>
        <w:rPr>
          <w:rFonts w:ascii="Times New Roman" w:hAnsi="Times New Roman" w:cs="Times New Roman"/>
          <w:sz w:val="24"/>
          <w:szCs w:val="24"/>
        </w:rPr>
      </w:pPr>
      <w:r w:rsidRPr="00526A27">
        <w:rPr>
          <w:rFonts w:ascii="Times New Roman" w:hAnsi="Times New Roman" w:cs="Times New Roman"/>
          <w:sz w:val="24"/>
          <w:szCs w:val="24"/>
        </w:rPr>
        <w:t xml:space="preserve">Así, si bien la estructura factorial del BDI-IA puede variar en número y contenido de los factores, esta inestabilidad puede entenderse no sólo por las diferencias en los análisis estadísticos realizados, sino también por la naturaleza de las muestras estudiadas. </w:t>
      </w:r>
      <w:proofErr w:type="spellStart"/>
      <w:r w:rsidRPr="00526A27">
        <w:rPr>
          <w:rFonts w:ascii="Times New Roman" w:hAnsi="Times New Roman" w:cs="Times New Roman"/>
          <w:sz w:val="24"/>
          <w:szCs w:val="24"/>
        </w:rPr>
        <w:t>Ibañez</w:t>
      </w:r>
      <w:proofErr w:type="spellEnd"/>
      <w:r w:rsidRPr="00526A27">
        <w:rPr>
          <w:rFonts w:ascii="Times New Roman" w:hAnsi="Times New Roman" w:cs="Times New Roman"/>
          <w:sz w:val="24"/>
          <w:szCs w:val="24"/>
        </w:rPr>
        <w:t xml:space="preserve">, Peñate y González (1997) sugieren que es probable que muestras de sujetos depresivos tiendan a proporcionar una estructura más homogénea, como la solución encontrada en este estudio, considerando que se trabajó con personas con diagnóstico clínico de depresión y sin diagnóstico conocido de trastornos mentales </w:t>
      </w:r>
      <w:bookmarkStart w:id="5" w:name="move488604503"/>
      <w:bookmarkEnd w:id="5"/>
      <w:r w:rsidRPr="00526A27">
        <w:rPr>
          <w:rFonts w:ascii="Times New Roman" w:hAnsi="Times New Roman" w:cs="Times New Roman"/>
          <w:sz w:val="24"/>
          <w:szCs w:val="24"/>
        </w:rPr>
        <w:t>(</w:t>
      </w:r>
      <w:proofErr w:type="spellStart"/>
      <w:r w:rsidR="00D56197">
        <w:rPr>
          <w:rFonts w:ascii="Times New Roman" w:hAnsi="Times New Roman" w:cs="Times New Roman"/>
          <w:sz w:val="24"/>
          <w:szCs w:val="24"/>
        </w:rPr>
        <w:t>Ibañez</w:t>
      </w:r>
      <w:proofErr w:type="spellEnd"/>
      <w:r w:rsidR="00D56197">
        <w:rPr>
          <w:rFonts w:ascii="Times New Roman" w:hAnsi="Times New Roman" w:cs="Times New Roman"/>
          <w:sz w:val="24"/>
          <w:szCs w:val="24"/>
        </w:rPr>
        <w:t xml:space="preserve"> et al., 1997</w:t>
      </w:r>
      <w:r w:rsidRPr="00526A27">
        <w:rPr>
          <w:rFonts w:ascii="Times New Roman" w:hAnsi="Times New Roman" w:cs="Times New Roman"/>
          <w:sz w:val="24"/>
          <w:szCs w:val="24"/>
        </w:rPr>
        <w:t xml:space="preserve">). </w:t>
      </w:r>
    </w:p>
    <w:p w14:paraId="4D9869B0" w14:textId="77777777" w:rsidR="00A72AD8" w:rsidRPr="00526A27" w:rsidRDefault="00A72AD8" w:rsidP="00526A27">
      <w:pPr>
        <w:spacing w:line="360" w:lineRule="auto"/>
        <w:jc w:val="both"/>
        <w:rPr>
          <w:rFonts w:ascii="Times New Roman" w:hAnsi="Times New Roman" w:cs="Times New Roman"/>
          <w:sz w:val="24"/>
          <w:szCs w:val="24"/>
        </w:rPr>
      </w:pPr>
      <w:r w:rsidRPr="00526A27">
        <w:rPr>
          <w:rFonts w:ascii="Times New Roman" w:hAnsi="Times New Roman" w:cs="Times New Roman"/>
          <w:sz w:val="24"/>
          <w:szCs w:val="24"/>
        </w:rPr>
        <w:t xml:space="preserve">Por otro lado, a pesar de que la muestra utilizada en el presente estudio corresponde en mayor porcentaje a mujeres, la estructura del instrumento presentó estabilidad entre hombres y mujeres, por lo que la estructura </w:t>
      </w:r>
      <w:proofErr w:type="spellStart"/>
      <w:r w:rsidRPr="00526A27">
        <w:rPr>
          <w:rFonts w:ascii="Times New Roman" w:hAnsi="Times New Roman" w:cs="Times New Roman"/>
          <w:sz w:val="24"/>
          <w:szCs w:val="24"/>
        </w:rPr>
        <w:t>uni-factorial</w:t>
      </w:r>
      <w:proofErr w:type="spellEnd"/>
      <w:r w:rsidRPr="00526A27">
        <w:rPr>
          <w:rFonts w:ascii="Times New Roman" w:hAnsi="Times New Roman" w:cs="Times New Roman"/>
          <w:sz w:val="24"/>
          <w:szCs w:val="24"/>
        </w:rPr>
        <w:t xml:space="preserve"> da cuenta en forma adecuada de la sintomatología depresiva en población de ambos sexos. </w:t>
      </w:r>
    </w:p>
    <w:p w14:paraId="77D0A24A" w14:textId="77777777" w:rsidR="00D82978" w:rsidRDefault="00A72AD8" w:rsidP="00D82978">
      <w:pPr>
        <w:spacing w:line="360" w:lineRule="auto"/>
        <w:jc w:val="both"/>
        <w:rPr>
          <w:rFonts w:ascii="Times New Roman" w:hAnsi="Times New Roman" w:cs="Times New Roman"/>
          <w:sz w:val="24"/>
          <w:szCs w:val="24"/>
        </w:rPr>
      </w:pPr>
      <w:r w:rsidRPr="00526A27">
        <w:rPr>
          <w:rFonts w:ascii="Times New Roman" w:hAnsi="Times New Roman" w:cs="Times New Roman"/>
          <w:sz w:val="24"/>
          <w:szCs w:val="24"/>
        </w:rPr>
        <w:t>Además, se calculó el puntaje de corte óptimo para esta muestra, utilizando dos métodos. Ambos métodos entregaron puntajes diferentes entre ellos y distintos –además– al puntaje de corte propuesto en la solución original del instrumento (</w:t>
      </w:r>
      <w:r w:rsidR="00D56197">
        <w:rPr>
          <w:rFonts w:ascii="Times New Roman" w:hAnsi="Times New Roman" w:cs="Times New Roman"/>
          <w:sz w:val="24"/>
          <w:szCs w:val="24"/>
        </w:rPr>
        <w:t>Beck et al., 1961</w:t>
      </w:r>
      <w:r w:rsidRPr="00526A27">
        <w:rPr>
          <w:rFonts w:ascii="Times New Roman" w:hAnsi="Times New Roman" w:cs="Times New Roman"/>
          <w:sz w:val="24"/>
          <w:szCs w:val="24"/>
        </w:rPr>
        <w:t xml:space="preserve">). Recomendamos utilizar el punto de corte 13/14 propuesto por el índice de </w:t>
      </w:r>
      <w:proofErr w:type="spellStart"/>
      <w:r w:rsidRPr="00526A27">
        <w:rPr>
          <w:rFonts w:ascii="Times New Roman" w:hAnsi="Times New Roman" w:cs="Times New Roman"/>
          <w:sz w:val="24"/>
          <w:szCs w:val="24"/>
        </w:rPr>
        <w:t>Youden</w:t>
      </w:r>
      <w:proofErr w:type="spellEnd"/>
      <w:r w:rsidRPr="00526A27">
        <w:rPr>
          <w:rFonts w:ascii="Times New Roman" w:hAnsi="Times New Roman" w:cs="Times New Roman"/>
          <w:sz w:val="24"/>
          <w:szCs w:val="24"/>
        </w:rPr>
        <w:t>, considerando que este método maximiza tanto la sensibilidad como la especificidad de la clasificación (</w:t>
      </w:r>
      <w:r w:rsidR="00D56197">
        <w:rPr>
          <w:rFonts w:ascii="Times New Roman" w:hAnsi="Times New Roman" w:cs="Times New Roman"/>
          <w:sz w:val="24"/>
          <w:szCs w:val="24"/>
        </w:rPr>
        <w:t xml:space="preserve">Perkins y </w:t>
      </w:r>
      <w:proofErr w:type="spellStart"/>
      <w:r w:rsidR="00D56197">
        <w:rPr>
          <w:rFonts w:ascii="Times New Roman" w:hAnsi="Times New Roman" w:cs="Times New Roman"/>
          <w:sz w:val="24"/>
          <w:szCs w:val="24"/>
        </w:rPr>
        <w:t>Schisterman</w:t>
      </w:r>
      <w:proofErr w:type="spellEnd"/>
      <w:r w:rsidR="00D56197">
        <w:rPr>
          <w:rFonts w:ascii="Times New Roman" w:hAnsi="Times New Roman" w:cs="Times New Roman"/>
          <w:sz w:val="24"/>
          <w:szCs w:val="24"/>
        </w:rPr>
        <w:t xml:space="preserve">, </w:t>
      </w:r>
      <w:r w:rsidR="008A4A96">
        <w:rPr>
          <w:rFonts w:ascii="Times New Roman" w:hAnsi="Times New Roman" w:cs="Times New Roman"/>
          <w:sz w:val="24"/>
          <w:szCs w:val="24"/>
        </w:rPr>
        <w:t>2006</w:t>
      </w:r>
      <w:r w:rsidRPr="00526A27">
        <w:rPr>
          <w:rFonts w:ascii="Times New Roman" w:hAnsi="Times New Roman" w:cs="Times New Roman"/>
          <w:sz w:val="24"/>
          <w:szCs w:val="24"/>
        </w:rPr>
        <w:t>)</w:t>
      </w:r>
    </w:p>
    <w:p w14:paraId="7D8157DF" w14:textId="77777777" w:rsidR="00D82978" w:rsidRDefault="00D82978">
      <w:pPr>
        <w:rPr>
          <w:rFonts w:ascii="Times New Roman" w:hAnsi="Times New Roman" w:cs="Times New Roman"/>
          <w:sz w:val="24"/>
          <w:szCs w:val="24"/>
        </w:rPr>
      </w:pPr>
      <w:r>
        <w:rPr>
          <w:rFonts w:ascii="Times New Roman" w:hAnsi="Times New Roman" w:cs="Times New Roman"/>
          <w:sz w:val="24"/>
          <w:szCs w:val="24"/>
        </w:rPr>
        <w:br w:type="page"/>
      </w:r>
    </w:p>
    <w:p w14:paraId="50C4507B" w14:textId="77777777" w:rsidR="00D82978" w:rsidRDefault="00D82978" w:rsidP="00D82978">
      <w:pPr>
        <w:spacing w:line="360" w:lineRule="auto"/>
        <w:jc w:val="both"/>
        <w:rPr>
          <w:rFonts w:ascii="Times New Roman" w:hAnsi="Times New Roman" w:cs="Times New Roman"/>
          <w:b/>
          <w:sz w:val="20"/>
          <w:szCs w:val="20"/>
        </w:rPr>
        <w:sectPr w:rsidR="00D82978" w:rsidSect="00D82978">
          <w:headerReference w:type="even" r:id="rId18"/>
          <w:headerReference w:type="default" r:id="rId19"/>
          <w:footerReference w:type="even" r:id="rId20"/>
          <w:footerReference w:type="default" r:id="rId21"/>
          <w:headerReference w:type="first" r:id="rId22"/>
          <w:footerReference w:type="first" r:id="rId23"/>
          <w:pgSz w:w="12240" w:h="15840"/>
          <w:pgMar w:top="1418" w:right="1701" w:bottom="1418" w:left="1701" w:header="709" w:footer="709" w:gutter="0"/>
          <w:pgNumType w:start="1"/>
          <w:cols w:space="708"/>
          <w:docGrid w:linePitch="360"/>
        </w:sectPr>
      </w:pPr>
    </w:p>
    <w:p w14:paraId="36257BDA" w14:textId="66150DEE" w:rsidR="00311B73" w:rsidRPr="00311B73" w:rsidRDefault="00311B73" w:rsidP="00D82978">
      <w:pPr>
        <w:spacing w:line="360" w:lineRule="auto"/>
        <w:jc w:val="both"/>
        <w:rPr>
          <w:rFonts w:ascii="Times New Roman" w:hAnsi="Times New Roman" w:cs="Times New Roman"/>
          <w:sz w:val="20"/>
          <w:szCs w:val="20"/>
        </w:rPr>
      </w:pPr>
      <w:r w:rsidRPr="00311B73">
        <w:rPr>
          <w:rFonts w:ascii="Times New Roman" w:hAnsi="Times New Roman" w:cs="Times New Roman"/>
          <w:b/>
          <w:sz w:val="20"/>
          <w:szCs w:val="20"/>
        </w:rPr>
        <w:lastRenderedPageBreak/>
        <w:t xml:space="preserve">Tabla </w:t>
      </w:r>
      <w:r w:rsidR="00417384">
        <w:rPr>
          <w:rFonts w:ascii="Times New Roman" w:hAnsi="Times New Roman" w:cs="Times New Roman"/>
          <w:b/>
          <w:sz w:val="20"/>
          <w:szCs w:val="20"/>
        </w:rPr>
        <w:t>2.</w:t>
      </w:r>
      <w:r w:rsidRPr="00311B73">
        <w:rPr>
          <w:rFonts w:ascii="Times New Roman" w:hAnsi="Times New Roman" w:cs="Times New Roman"/>
          <w:b/>
          <w:sz w:val="20"/>
          <w:szCs w:val="20"/>
        </w:rPr>
        <w:t>3.</w:t>
      </w:r>
      <w:r w:rsidRPr="00311B73">
        <w:rPr>
          <w:rFonts w:ascii="Times New Roman" w:hAnsi="Times New Roman" w:cs="Times New Roman"/>
          <w:sz w:val="20"/>
          <w:szCs w:val="20"/>
        </w:rPr>
        <w:t xml:space="preserve"> Resumen de Resultados de Estudios con BDI-I en Población Hispanoparlante</w:t>
      </w:r>
    </w:p>
    <w:tbl>
      <w:tblPr>
        <w:tblStyle w:val="Tablaconcuadrcula"/>
        <w:tblW w:w="5000" w:type="pct"/>
        <w:jc w:val="center"/>
        <w:tblInd w:w="0" w:type="dxa"/>
        <w:tblLook w:val="04A0" w:firstRow="1" w:lastRow="0" w:firstColumn="1" w:lastColumn="0" w:noHBand="0" w:noVBand="1"/>
      </w:tblPr>
      <w:tblGrid>
        <w:gridCol w:w="1403"/>
        <w:gridCol w:w="2242"/>
        <w:gridCol w:w="2384"/>
        <w:gridCol w:w="2945"/>
        <w:gridCol w:w="1680"/>
        <w:gridCol w:w="2350"/>
      </w:tblGrid>
      <w:tr w:rsidR="00311B73" w:rsidRPr="00311B73" w14:paraId="3C517FDE" w14:textId="77777777" w:rsidTr="00311B73">
        <w:trPr>
          <w:jc w:val="center"/>
        </w:trPr>
        <w:tc>
          <w:tcPr>
            <w:tcW w:w="1404" w:type="dxa"/>
            <w:tcBorders>
              <w:top w:val="single" w:sz="4" w:space="0" w:color="auto"/>
              <w:left w:val="nil"/>
              <w:bottom w:val="single" w:sz="4" w:space="0" w:color="auto"/>
              <w:right w:val="nil"/>
            </w:tcBorders>
            <w:vAlign w:val="center"/>
            <w:hideMark/>
          </w:tcPr>
          <w:p w14:paraId="570D1E14" w14:textId="77777777" w:rsidR="00311B73" w:rsidRPr="00311B73" w:rsidRDefault="00311B73">
            <w:pPr>
              <w:spacing w:line="360" w:lineRule="auto"/>
              <w:rPr>
                <w:rFonts w:ascii="Times New Roman" w:hAnsi="Times New Roman" w:cs="Times New Roman"/>
                <w:sz w:val="24"/>
                <w:szCs w:val="24"/>
              </w:rPr>
            </w:pPr>
            <w:proofErr w:type="spellStart"/>
            <w:r w:rsidRPr="00311B73">
              <w:rPr>
                <w:rFonts w:ascii="Times New Roman" w:hAnsi="Times New Roman" w:cs="Times New Roman"/>
                <w:sz w:val="24"/>
                <w:szCs w:val="24"/>
                <w:lang w:val="en-US"/>
              </w:rPr>
              <w:t>Estudio</w:t>
            </w:r>
            <w:proofErr w:type="spellEnd"/>
          </w:p>
        </w:tc>
        <w:tc>
          <w:tcPr>
            <w:tcW w:w="2242" w:type="dxa"/>
            <w:tcBorders>
              <w:top w:val="single" w:sz="4" w:space="0" w:color="auto"/>
              <w:left w:val="nil"/>
              <w:bottom w:val="single" w:sz="4" w:space="0" w:color="auto"/>
              <w:right w:val="nil"/>
            </w:tcBorders>
            <w:vAlign w:val="center"/>
            <w:hideMark/>
          </w:tcPr>
          <w:p w14:paraId="2D47D4D6" w14:textId="77777777" w:rsidR="00311B73" w:rsidRPr="00311B73" w:rsidRDefault="00311B73">
            <w:pPr>
              <w:spacing w:line="360" w:lineRule="auto"/>
              <w:rPr>
                <w:rFonts w:ascii="Times New Roman" w:hAnsi="Times New Roman" w:cs="Times New Roman"/>
                <w:sz w:val="24"/>
                <w:szCs w:val="24"/>
              </w:rPr>
            </w:pPr>
            <w:proofErr w:type="spellStart"/>
            <w:r w:rsidRPr="00311B73">
              <w:rPr>
                <w:rFonts w:ascii="Times New Roman" w:hAnsi="Times New Roman" w:cs="Times New Roman"/>
                <w:sz w:val="24"/>
                <w:szCs w:val="24"/>
                <w:lang w:val="en-US"/>
              </w:rPr>
              <w:t>Características</w:t>
            </w:r>
            <w:proofErr w:type="spellEnd"/>
            <w:r w:rsidRPr="00311B73">
              <w:rPr>
                <w:rFonts w:ascii="Times New Roman" w:hAnsi="Times New Roman" w:cs="Times New Roman"/>
                <w:sz w:val="24"/>
                <w:szCs w:val="24"/>
                <w:lang w:val="en-US"/>
              </w:rPr>
              <w:t xml:space="preserve"> de la </w:t>
            </w:r>
            <w:proofErr w:type="spellStart"/>
            <w:r w:rsidRPr="00311B73">
              <w:rPr>
                <w:rFonts w:ascii="Times New Roman" w:hAnsi="Times New Roman" w:cs="Times New Roman"/>
                <w:sz w:val="24"/>
                <w:szCs w:val="24"/>
                <w:lang w:val="en-US"/>
              </w:rPr>
              <w:t>muestra</w:t>
            </w:r>
            <w:proofErr w:type="spellEnd"/>
          </w:p>
        </w:tc>
        <w:tc>
          <w:tcPr>
            <w:tcW w:w="2384" w:type="dxa"/>
            <w:tcBorders>
              <w:top w:val="single" w:sz="4" w:space="0" w:color="auto"/>
              <w:left w:val="nil"/>
              <w:bottom w:val="single" w:sz="4" w:space="0" w:color="auto"/>
              <w:right w:val="nil"/>
            </w:tcBorders>
            <w:vAlign w:val="center"/>
            <w:hideMark/>
          </w:tcPr>
          <w:p w14:paraId="37BCDAFA" w14:textId="77777777" w:rsidR="00311B73" w:rsidRPr="00311B73" w:rsidRDefault="00311B73">
            <w:pPr>
              <w:spacing w:line="360" w:lineRule="auto"/>
              <w:rPr>
                <w:rFonts w:ascii="Times New Roman" w:hAnsi="Times New Roman" w:cs="Times New Roman"/>
                <w:sz w:val="24"/>
                <w:szCs w:val="24"/>
              </w:rPr>
            </w:pPr>
            <w:proofErr w:type="spellStart"/>
            <w:r w:rsidRPr="00311B73">
              <w:rPr>
                <w:rFonts w:ascii="Times New Roman" w:hAnsi="Times New Roman" w:cs="Times New Roman"/>
                <w:sz w:val="24"/>
                <w:szCs w:val="24"/>
                <w:lang w:val="en-US"/>
              </w:rPr>
              <w:t>Vers</w:t>
            </w:r>
            <w:r w:rsidRPr="00311B73">
              <w:rPr>
                <w:rFonts w:ascii="Times New Roman" w:hAnsi="Times New Roman" w:cs="Times New Roman"/>
                <w:sz w:val="24"/>
                <w:szCs w:val="24"/>
              </w:rPr>
              <w:t>ión</w:t>
            </w:r>
            <w:proofErr w:type="spellEnd"/>
            <w:r w:rsidRPr="00311B73">
              <w:rPr>
                <w:rFonts w:ascii="Times New Roman" w:hAnsi="Times New Roman" w:cs="Times New Roman"/>
                <w:sz w:val="24"/>
                <w:szCs w:val="24"/>
              </w:rPr>
              <w:t xml:space="preserve"> utilizada</w:t>
            </w:r>
          </w:p>
        </w:tc>
        <w:tc>
          <w:tcPr>
            <w:tcW w:w="2945" w:type="dxa"/>
            <w:tcBorders>
              <w:top w:val="single" w:sz="4" w:space="0" w:color="auto"/>
              <w:left w:val="nil"/>
              <w:bottom w:val="single" w:sz="4" w:space="0" w:color="auto"/>
              <w:right w:val="nil"/>
            </w:tcBorders>
            <w:vAlign w:val="center"/>
            <w:hideMark/>
          </w:tcPr>
          <w:p w14:paraId="63297C5D" w14:textId="77777777" w:rsidR="00311B73" w:rsidRPr="00311B73" w:rsidRDefault="00311B73">
            <w:pPr>
              <w:spacing w:line="360" w:lineRule="auto"/>
              <w:rPr>
                <w:rFonts w:ascii="Times New Roman" w:hAnsi="Times New Roman" w:cs="Times New Roman"/>
                <w:sz w:val="24"/>
                <w:szCs w:val="24"/>
              </w:rPr>
            </w:pPr>
            <w:r w:rsidRPr="00311B73">
              <w:rPr>
                <w:rFonts w:ascii="Times New Roman" w:hAnsi="Times New Roman" w:cs="Times New Roman"/>
                <w:sz w:val="24"/>
                <w:szCs w:val="24"/>
              </w:rPr>
              <w:t>Análisis factorial exploratorio</w:t>
            </w:r>
          </w:p>
        </w:tc>
        <w:tc>
          <w:tcPr>
            <w:tcW w:w="1680" w:type="dxa"/>
            <w:tcBorders>
              <w:top w:val="single" w:sz="4" w:space="0" w:color="auto"/>
              <w:left w:val="nil"/>
              <w:bottom w:val="single" w:sz="4" w:space="0" w:color="auto"/>
              <w:right w:val="nil"/>
            </w:tcBorders>
            <w:vAlign w:val="center"/>
            <w:hideMark/>
          </w:tcPr>
          <w:p w14:paraId="4994E9EE" w14:textId="77777777" w:rsidR="00311B73" w:rsidRPr="00311B73" w:rsidRDefault="00311B73">
            <w:pPr>
              <w:spacing w:line="360" w:lineRule="auto"/>
              <w:rPr>
                <w:rFonts w:ascii="Times New Roman" w:hAnsi="Times New Roman" w:cs="Times New Roman"/>
                <w:sz w:val="24"/>
                <w:szCs w:val="24"/>
              </w:rPr>
            </w:pPr>
            <w:r w:rsidRPr="00311B73">
              <w:rPr>
                <w:rFonts w:ascii="Times New Roman" w:hAnsi="Times New Roman" w:cs="Times New Roman"/>
                <w:sz w:val="24"/>
                <w:szCs w:val="24"/>
              </w:rPr>
              <w:t>Análisis factorial confirmatorio</w:t>
            </w:r>
          </w:p>
        </w:tc>
        <w:tc>
          <w:tcPr>
            <w:tcW w:w="2350" w:type="dxa"/>
            <w:tcBorders>
              <w:top w:val="single" w:sz="4" w:space="0" w:color="auto"/>
              <w:left w:val="nil"/>
              <w:bottom w:val="single" w:sz="4" w:space="0" w:color="auto"/>
              <w:right w:val="nil"/>
            </w:tcBorders>
            <w:vAlign w:val="center"/>
            <w:hideMark/>
          </w:tcPr>
          <w:p w14:paraId="70DF29BF" w14:textId="77777777" w:rsidR="00311B73" w:rsidRPr="00311B73" w:rsidRDefault="00311B73">
            <w:pPr>
              <w:spacing w:line="360" w:lineRule="auto"/>
              <w:rPr>
                <w:rFonts w:ascii="Times New Roman" w:hAnsi="Times New Roman" w:cs="Times New Roman"/>
                <w:sz w:val="24"/>
                <w:szCs w:val="24"/>
              </w:rPr>
            </w:pPr>
            <w:r w:rsidRPr="00311B73">
              <w:rPr>
                <w:rFonts w:ascii="Times New Roman" w:hAnsi="Times New Roman" w:cs="Times New Roman"/>
                <w:sz w:val="24"/>
                <w:szCs w:val="24"/>
              </w:rPr>
              <w:t>Principales resultados</w:t>
            </w:r>
          </w:p>
        </w:tc>
      </w:tr>
      <w:tr w:rsidR="00311B73" w:rsidRPr="00311B73" w14:paraId="611B6912" w14:textId="77777777" w:rsidTr="00311B73">
        <w:trPr>
          <w:jc w:val="center"/>
        </w:trPr>
        <w:tc>
          <w:tcPr>
            <w:tcW w:w="1404" w:type="dxa"/>
            <w:tcBorders>
              <w:top w:val="single" w:sz="4" w:space="0" w:color="auto"/>
              <w:left w:val="nil"/>
              <w:bottom w:val="single" w:sz="4" w:space="0" w:color="auto"/>
              <w:right w:val="nil"/>
            </w:tcBorders>
            <w:vAlign w:val="center"/>
            <w:hideMark/>
          </w:tcPr>
          <w:p w14:paraId="1DA34EAD" w14:textId="53C07F8F" w:rsidR="00311B73" w:rsidRPr="00311B73" w:rsidRDefault="00311B73">
            <w:pPr>
              <w:spacing w:line="360" w:lineRule="auto"/>
              <w:rPr>
                <w:rFonts w:ascii="Times New Roman" w:hAnsi="Times New Roman" w:cs="Times New Roman"/>
                <w:sz w:val="24"/>
                <w:szCs w:val="24"/>
              </w:rPr>
            </w:pPr>
            <w:r w:rsidRPr="00311B73">
              <w:rPr>
                <w:rFonts w:ascii="Times New Roman" w:hAnsi="Times New Roman" w:cs="Times New Roman"/>
                <w:sz w:val="24"/>
                <w:szCs w:val="24"/>
              </w:rPr>
              <w:t xml:space="preserve">España </w:t>
            </w:r>
          </w:p>
        </w:tc>
        <w:tc>
          <w:tcPr>
            <w:tcW w:w="2242" w:type="dxa"/>
            <w:tcBorders>
              <w:top w:val="single" w:sz="4" w:space="0" w:color="auto"/>
              <w:left w:val="nil"/>
              <w:bottom w:val="single" w:sz="4" w:space="0" w:color="auto"/>
              <w:right w:val="nil"/>
            </w:tcBorders>
            <w:vAlign w:val="center"/>
            <w:hideMark/>
          </w:tcPr>
          <w:p w14:paraId="1D0E1353" w14:textId="77777777" w:rsidR="00311B73" w:rsidRPr="00311B73" w:rsidRDefault="00311B73">
            <w:pPr>
              <w:spacing w:line="360" w:lineRule="auto"/>
              <w:rPr>
                <w:rFonts w:ascii="Times New Roman" w:hAnsi="Times New Roman" w:cs="Times New Roman"/>
                <w:sz w:val="24"/>
                <w:szCs w:val="24"/>
              </w:rPr>
            </w:pPr>
            <w:r w:rsidRPr="00311B73">
              <w:rPr>
                <w:rFonts w:ascii="Times New Roman" w:hAnsi="Times New Roman" w:cs="Times New Roman"/>
                <w:i/>
                <w:sz w:val="24"/>
                <w:szCs w:val="24"/>
              </w:rPr>
              <w:t xml:space="preserve">N = </w:t>
            </w:r>
            <w:r w:rsidRPr="00311B73">
              <w:rPr>
                <w:rFonts w:ascii="Times New Roman" w:hAnsi="Times New Roman" w:cs="Times New Roman"/>
                <w:sz w:val="24"/>
                <w:szCs w:val="24"/>
              </w:rPr>
              <w:t>393. Muestra no clínica</w:t>
            </w:r>
          </w:p>
          <w:p w14:paraId="40080DC7" w14:textId="77777777" w:rsidR="00311B73" w:rsidRPr="00311B73" w:rsidRDefault="00311B73">
            <w:pPr>
              <w:spacing w:line="360" w:lineRule="auto"/>
              <w:rPr>
                <w:rFonts w:ascii="Times New Roman" w:hAnsi="Times New Roman" w:cs="Times New Roman"/>
                <w:sz w:val="24"/>
                <w:szCs w:val="24"/>
              </w:rPr>
            </w:pPr>
            <w:r w:rsidRPr="00311B73">
              <w:rPr>
                <w:rFonts w:ascii="Times New Roman" w:hAnsi="Times New Roman" w:cs="Times New Roman"/>
                <w:sz w:val="24"/>
                <w:szCs w:val="24"/>
              </w:rPr>
              <w:t>61% mujeres</w:t>
            </w:r>
          </w:p>
          <w:p w14:paraId="10054EBB" w14:textId="77777777" w:rsidR="00311B73" w:rsidRPr="00311B73" w:rsidRDefault="00311B73">
            <w:pPr>
              <w:spacing w:line="360" w:lineRule="auto"/>
              <w:rPr>
                <w:rFonts w:ascii="Times New Roman" w:hAnsi="Times New Roman" w:cs="Times New Roman"/>
                <w:sz w:val="24"/>
                <w:szCs w:val="24"/>
              </w:rPr>
            </w:pPr>
            <w:r w:rsidRPr="00311B73">
              <w:rPr>
                <w:rFonts w:ascii="Times New Roman" w:hAnsi="Times New Roman" w:cs="Times New Roman"/>
                <w:sz w:val="24"/>
                <w:szCs w:val="24"/>
              </w:rPr>
              <w:t>16-40 años (</w:t>
            </w:r>
            <w:r w:rsidRPr="00311B73">
              <w:rPr>
                <w:rFonts w:ascii="Times New Roman" w:hAnsi="Times New Roman" w:cs="Times New Roman"/>
                <w:i/>
                <w:sz w:val="24"/>
                <w:szCs w:val="24"/>
              </w:rPr>
              <w:t>M</w:t>
            </w:r>
            <w:r w:rsidRPr="00311B73">
              <w:rPr>
                <w:rFonts w:ascii="Times New Roman" w:hAnsi="Times New Roman" w:cs="Times New Roman"/>
                <w:sz w:val="24"/>
                <w:szCs w:val="24"/>
              </w:rPr>
              <w:t xml:space="preserve"> = 19,11; </w:t>
            </w:r>
            <w:r w:rsidRPr="00311B73">
              <w:rPr>
                <w:rFonts w:ascii="Times New Roman" w:hAnsi="Times New Roman" w:cs="Times New Roman"/>
                <w:i/>
                <w:sz w:val="24"/>
                <w:szCs w:val="24"/>
              </w:rPr>
              <w:t>DE</w:t>
            </w:r>
            <w:r w:rsidRPr="00311B73">
              <w:rPr>
                <w:rFonts w:ascii="Times New Roman" w:hAnsi="Times New Roman" w:cs="Times New Roman"/>
                <w:sz w:val="24"/>
                <w:szCs w:val="24"/>
              </w:rPr>
              <w:t xml:space="preserve"> = 2,79)</w:t>
            </w:r>
          </w:p>
        </w:tc>
        <w:tc>
          <w:tcPr>
            <w:tcW w:w="2384" w:type="dxa"/>
            <w:tcBorders>
              <w:top w:val="single" w:sz="4" w:space="0" w:color="auto"/>
              <w:left w:val="nil"/>
              <w:bottom w:val="single" w:sz="4" w:space="0" w:color="auto"/>
              <w:right w:val="nil"/>
            </w:tcBorders>
            <w:vAlign w:val="center"/>
            <w:hideMark/>
          </w:tcPr>
          <w:p w14:paraId="36AA21B1" w14:textId="77777777" w:rsidR="00311B73" w:rsidRPr="00311B73" w:rsidRDefault="00311B73">
            <w:pPr>
              <w:spacing w:line="360" w:lineRule="auto"/>
              <w:rPr>
                <w:rFonts w:ascii="Times New Roman" w:hAnsi="Times New Roman" w:cs="Times New Roman"/>
                <w:sz w:val="24"/>
                <w:szCs w:val="24"/>
              </w:rPr>
            </w:pPr>
            <w:r w:rsidRPr="00311B73">
              <w:rPr>
                <w:rFonts w:ascii="Times New Roman" w:hAnsi="Times New Roman" w:cs="Times New Roman"/>
                <w:sz w:val="24"/>
                <w:szCs w:val="24"/>
              </w:rPr>
              <w:t xml:space="preserve">Versión española de Conde et al. (1996). </w:t>
            </w:r>
          </w:p>
          <w:p w14:paraId="37DB6143" w14:textId="77777777" w:rsidR="00311B73" w:rsidRPr="00311B73" w:rsidRDefault="00311B73">
            <w:pPr>
              <w:spacing w:line="360" w:lineRule="auto"/>
              <w:rPr>
                <w:rFonts w:ascii="Times New Roman" w:hAnsi="Times New Roman" w:cs="Times New Roman"/>
                <w:sz w:val="24"/>
                <w:szCs w:val="24"/>
              </w:rPr>
            </w:pPr>
            <w:r w:rsidRPr="00311B73">
              <w:rPr>
                <w:rFonts w:ascii="Times New Roman" w:hAnsi="Times New Roman" w:cs="Times New Roman"/>
                <w:sz w:val="24"/>
                <w:szCs w:val="24"/>
              </w:rPr>
              <w:t>19 ítems.</w:t>
            </w:r>
          </w:p>
        </w:tc>
        <w:tc>
          <w:tcPr>
            <w:tcW w:w="2945" w:type="dxa"/>
            <w:tcBorders>
              <w:top w:val="single" w:sz="4" w:space="0" w:color="auto"/>
              <w:left w:val="nil"/>
              <w:bottom w:val="single" w:sz="4" w:space="0" w:color="auto"/>
              <w:right w:val="nil"/>
            </w:tcBorders>
            <w:vAlign w:val="center"/>
            <w:hideMark/>
          </w:tcPr>
          <w:p w14:paraId="762F18A2" w14:textId="77777777" w:rsidR="00311B73" w:rsidRPr="00311B73" w:rsidRDefault="00311B73">
            <w:pPr>
              <w:spacing w:line="360" w:lineRule="auto"/>
              <w:rPr>
                <w:rFonts w:ascii="Times New Roman" w:hAnsi="Times New Roman" w:cs="Times New Roman"/>
                <w:sz w:val="24"/>
                <w:szCs w:val="24"/>
              </w:rPr>
            </w:pPr>
            <w:proofErr w:type="spellStart"/>
            <w:r w:rsidRPr="00311B73">
              <w:rPr>
                <w:rFonts w:ascii="Times New Roman" w:hAnsi="Times New Roman" w:cs="Times New Roman"/>
                <w:sz w:val="24"/>
                <w:szCs w:val="24"/>
              </w:rPr>
              <w:t>N°</w:t>
            </w:r>
            <w:proofErr w:type="spellEnd"/>
            <w:r w:rsidRPr="00311B73">
              <w:rPr>
                <w:rFonts w:ascii="Times New Roman" w:hAnsi="Times New Roman" w:cs="Times New Roman"/>
                <w:sz w:val="24"/>
                <w:szCs w:val="24"/>
              </w:rPr>
              <w:t xml:space="preserve"> de factores: Criterio Kaiser (</w:t>
            </w:r>
            <w:proofErr w:type="spellStart"/>
            <w:r w:rsidRPr="00311B73">
              <w:rPr>
                <w:rFonts w:ascii="Times New Roman" w:hAnsi="Times New Roman" w:cs="Times New Roman"/>
                <w:i/>
                <w:sz w:val="24"/>
                <w:szCs w:val="24"/>
              </w:rPr>
              <w:t>eigenvalue</w:t>
            </w:r>
            <w:proofErr w:type="spellEnd"/>
            <w:r w:rsidRPr="00311B73">
              <w:rPr>
                <w:rFonts w:ascii="Times New Roman" w:hAnsi="Times New Roman" w:cs="Times New Roman"/>
                <w:sz w:val="24"/>
                <w:szCs w:val="24"/>
              </w:rPr>
              <w:t xml:space="preserve"> ≥ 1)</w:t>
            </w:r>
          </w:p>
          <w:p w14:paraId="07D10221" w14:textId="77777777" w:rsidR="00311B73" w:rsidRPr="00311B73" w:rsidRDefault="00311B73">
            <w:pPr>
              <w:spacing w:line="360" w:lineRule="auto"/>
              <w:rPr>
                <w:rFonts w:ascii="Times New Roman" w:hAnsi="Times New Roman" w:cs="Times New Roman"/>
                <w:sz w:val="24"/>
                <w:szCs w:val="24"/>
              </w:rPr>
            </w:pPr>
            <w:r w:rsidRPr="00311B73">
              <w:rPr>
                <w:rFonts w:ascii="Times New Roman" w:hAnsi="Times New Roman" w:cs="Times New Roman"/>
                <w:sz w:val="24"/>
                <w:szCs w:val="24"/>
              </w:rPr>
              <w:t xml:space="preserve">Método de estimación: Componentes principales con rotación </w:t>
            </w:r>
            <w:proofErr w:type="spellStart"/>
            <w:r w:rsidRPr="00311B73">
              <w:rPr>
                <w:rFonts w:ascii="Times New Roman" w:hAnsi="Times New Roman" w:cs="Times New Roman"/>
                <w:sz w:val="24"/>
                <w:szCs w:val="24"/>
              </w:rPr>
              <w:t>Varimax</w:t>
            </w:r>
            <w:proofErr w:type="spellEnd"/>
            <w:r w:rsidRPr="00311B73">
              <w:rPr>
                <w:rFonts w:ascii="Times New Roman" w:hAnsi="Times New Roman" w:cs="Times New Roman"/>
                <w:sz w:val="24"/>
                <w:szCs w:val="24"/>
              </w:rPr>
              <w:t xml:space="preserve"> y </w:t>
            </w:r>
            <w:proofErr w:type="spellStart"/>
            <w:r w:rsidRPr="00311B73">
              <w:rPr>
                <w:rFonts w:ascii="Times New Roman" w:hAnsi="Times New Roman" w:cs="Times New Roman"/>
                <w:sz w:val="24"/>
                <w:szCs w:val="24"/>
              </w:rPr>
              <w:t>Oblimim</w:t>
            </w:r>
            <w:proofErr w:type="spellEnd"/>
            <w:r w:rsidRPr="00311B73">
              <w:rPr>
                <w:rFonts w:ascii="Times New Roman" w:hAnsi="Times New Roman" w:cs="Times New Roman"/>
                <w:sz w:val="24"/>
                <w:szCs w:val="24"/>
              </w:rPr>
              <w:t>.</w:t>
            </w:r>
          </w:p>
        </w:tc>
        <w:tc>
          <w:tcPr>
            <w:tcW w:w="1680" w:type="dxa"/>
            <w:tcBorders>
              <w:top w:val="single" w:sz="4" w:space="0" w:color="auto"/>
              <w:left w:val="nil"/>
              <w:bottom w:val="single" w:sz="4" w:space="0" w:color="auto"/>
              <w:right w:val="nil"/>
            </w:tcBorders>
            <w:vAlign w:val="center"/>
            <w:hideMark/>
          </w:tcPr>
          <w:p w14:paraId="784B6874" w14:textId="77777777" w:rsidR="00311B73" w:rsidRPr="00311B73" w:rsidRDefault="00311B73">
            <w:pPr>
              <w:spacing w:line="360" w:lineRule="auto"/>
              <w:rPr>
                <w:rFonts w:ascii="Times New Roman" w:hAnsi="Times New Roman" w:cs="Times New Roman"/>
                <w:sz w:val="24"/>
                <w:szCs w:val="24"/>
              </w:rPr>
            </w:pPr>
            <w:r w:rsidRPr="00311B73">
              <w:rPr>
                <w:rFonts w:ascii="Times New Roman" w:hAnsi="Times New Roman" w:cs="Times New Roman"/>
                <w:sz w:val="24"/>
                <w:szCs w:val="24"/>
              </w:rPr>
              <w:t xml:space="preserve">Indicadores de Ajuste del modelo: chi-cuadrado, RMSR y AGFI </w:t>
            </w:r>
          </w:p>
        </w:tc>
        <w:tc>
          <w:tcPr>
            <w:tcW w:w="2350" w:type="dxa"/>
            <w:tcBorders>
              <w:top w:val="single" w:sz="4" w:space="0" w:color="auto"/>
              <w:left w:val="nil"/>
              <w:bottom w:val="single" w:sz="4" w:space="0" w:color="auto"/>
              <w:right w:val="nil"/>
            </w:tcBorders>
            <w:vAlign w:val="center"/>
            <w:hideMark/>
          </w:tcPr>
          <w:p w14:paraId="7FF31A61" w14:textId="77777777" w:rsidR="00311B73" w:rsidRPr="00311B73" w:rsidRDefault="00311B73">
            <w:pPr>
              <w:spacing w:line="360" w:lineRule="auto"/>
              <w:rPr>
                <w:rFonts w:ascii="Times New Roman" w:hAnsi="Times New Roman" w:cs="Times New Roman"/>
                <w:sz w:val="24"/>
                <w:szCs w:val="24"/>
              </w:rPr>
            </w:pPr>
            <w:r w:rsidRPr="00311B73">
              <w:rPr>
                <w:rFonts w:ascii="Times New Roman" w:hAnsi="Times New Roman" w:cs="Times New Roman"/>
                <w:sz w:val="24"/>
                <w:szCs w:val="24"/>
              </w:rPr>
              <w:t xml:space="preserve">AFE: 6 factores (52% de varianza explicada) </w:t>
            </w:r>
          </w:p>
          <w:p w14:paraId="2C47FF57" w14:textId="77777777" w:rsidR="00311B73" w:rsidRPr="00311B73" w:rsidRDefault="00311B73">
            <w:pPr>
              <w:spacing w:line="360" w:lineRule="auto"/>
              <w:rPr>
                <w:rFonts w:ascii="Times New Roman" w:hAnsi="Times New Roman" w:cs="Times New Roman"/>
                <w:sz w:val="24"/>
                <w:szCs w:val="24"/>
              </w:rPr>
            </w:pPr>
            <w:r w:rsidRPr="00311B73">
              <w:rPr>
                <w:rFonts w:ascii="Times New Roman" w:hAnsi="Times New Roman" w:cs="Times New Roman"/>
                <w:sz w:val="24"/>
                <w:szCs w:val="24"/>
              </w:rPr>
              <w:t>AFC: Solución de seis factores presentó mejor ajuste que soluciones alternativas</w:t>
            </w:r>
          </w:p>
        </w:tc>
      </w:tr>
      <w:tr w:rsidR="00311B73" w:rsidRPr="00311B73" w14:paraId="2762F942" w14:textId="77777777" w:rsidTr="00311B73">
        <w:trPr>
          <w:jc w:val="center"/>
        </w:trPr>
        <w:tc>
          <w:tcPr>
            <w:tcW w:w="1404" w:type="dxa"/>
            <w:tcBorders>
              <w:top w:val="single" w:sz="4" w:space="0" w:color="auto"/>
              <w:left w:val="nil"/>
              <w:bottom w:val="single" w:sz="4" w:space="0" w:color="auto"/>
              <w:right w:val="nil"/>
            </w:tcBorders>
            <w:vAlign w:val="center"/>
            <w:hideMark/>
          </w:tcPr>
          <w:p w14:paraId="739AC7C7" w14:textId="3DC543A2" w:rsidR="00311B73" w:rsidRPr="00311B73" w:rsidRDefault="00311B73">
            <w:pPr>
              <w:spacing w:line="360" w:lineRule="auto"/>
              <w:rPr>
                <w:rFonts w:ascii="Times New Roman" w:hAnsi="Times New Roman" w:cs="Times New Roman"/>
                <w:sz w:val="24"/>
                <w:szCs w:val="24"/>
              </w:rPr>
            </w:pPr>
            <w:r w:rsidRPr="00311B73">
              <w:rPr>
                <w:rFonts w:ascii="Times New Roman" w:hAnsi="Times New Roman" w:cs="Times New Roman"/>
                <w:sz w:val="24"/>
                <w:szCs w:val="24"/>
              </w:rPr>
              <w:t xml:space="preserve">México </w:t>
            </w:r>
          </w:p>
        </w:tc>
        <w:tc>
          <w:tcPr>
            <w:tcW w:w="2242" w:type="dxa"/>
            <w:tcBorders>
              <w:top w:val="single" w:sz="4" w:space="0" w:color="auto"/>
              <w:left w:val="nil"/>
              <w:bottom w:val="single" w:sz="4" w:space="0" w:color="auto"/>
              <w:right w:val="nil"/>
            </w:tcBorders>
            <w:vAlign w:val="center"/>
            <w:hideMark/>
          </w:tcPr>
          <w:p w14:paraId="13EF213F" w14:textId="77777777" w:rsidR="00311B73" w:rsidRPr="00311B73" w:rsidRDefault="00311B73">
            <w:pPr>
              <w:spacing w:line="360" w:lineRule="auto"/>
              <w:rPr>
                <w:rFonts w:ascii="Times New Roman" w:hAnsi="Times New Roman" w:cs="Times New Roman"/>
                <w:sz w:val="24"/>
                <w:szCs w:val="24"/>
              </w:rPr>
            </w:pPr>
            <w:r w:rsidRPr="00311B73">
              <w:rPr>
                <w:rFonts w:ascii="Times New Roman" w:hAnsi="Times New Roman" w:cs="Times New Roman"/>
                <w:i/>
                <w:sz w:val="24"/>
                <w:szCs w:val="24"/>
              </w:rPr>
              <w:t>N</w:t>
            </w:r>
            <w:r w:rsidRPr="00311B73">
              <w:rPr>
                <w:rFonts w:ascii="Times New Roman" w:hAnsi="Times New Roman" w:cs="Times New Roman"/>
                <w:sz w:val="24"/>
                <w:szCs w:val="24"/>
              </w:rPr>
              <w:t xml:space="preserve"> = 650. Muestra no clínica.</w:t>
            </w:r>
          </w:p>
          <w:p w14:paraId="57DB1C6B" w14:textId="77777777" w:rsidR="00311B73" w:rsidRPr="00311B73" w:rsidRDefault="00311B73">
            <w:pPr>
              <w:spacing w:line="360" w:lineRule="auto"/>
              <w:rPr>
                <w:rFonts w:ascii="Times New Roman" w:hAnsi="Times New Roman" w:cs="Times New Roman"/>
                <w:sz w:val="24"/>
                <w:szCs w:val="24"/>
              </w:rPr>
            </w:pPr>
            <w:r w:rsidRPr="00311B73">
              <w:rPr>
                <w:rFonts w:ascii="Times New Roman" w:hAnsi="Times New Roman" w:cs="Times New Roman"/>
                <w:sz w:val="24"/>
                <w:szCs w:val="24"/>
              </w:rPr>
              <w:t>65% mujeres</w:t>
            </w:r>
          </w:p>
          <w:p w14:paraId="0BDE06FF" w14:textId="77777777" w:rsidR="00311B73" w:rsidRPr="00311B73" w:rsidRDefault="00311B73">
            <w:pPr>
              <w:spacing w:line="360" w:lineRule="auto"/>
              <w:rPr>
                <w:rFonts w:ascii="Times New Roman" w:hAnsi="Times New Roman" w:cs="Times New Roman"/>
                <w:sz w:val="24"/>
                <w:szCs w:val="24"/>
              </w:rPr>
            </w:pPr>
            <w:r w:rsidRPr="00311B73">
              <w:rPr>
                <w:rFonts w:ascii="Times New Roman" w:hAnsi="Times New Roman" w:cs="Times New Roman"/>
                <w:sz w:val="24"/>
                <w:szCs w:val="24"/>
              </w:rPr>
              <w:t>15-53 años (</w:t>
            </w:r>
            <w:r w:rsidRPr="00311B73">
              <w:rPr>
                <w:rFonts w:ascii="Times New Roman" w:hAnsi="Times New Roman" w:cs="Times New Roman"/>
                <w:i/>
                <w:sz w:val="24"/>
                <w:szCs w:val="24"/>
              </w:rPr>
              <w:t>M</w:t>
            </w:r>
            <w:r w:rsidRPr="00311B73">
              <w:rPr>
                <w:rFonts w:ascii="Times New Roman" w:hAnsi="Times New Roman" w:cs="Times New Roman"/>
                <w:sz w:val="24"/>
                <w:szCs w:val="24"/>
              </w:rPr>
              <w:t xml:space="preserve"> y </w:t>
            </w:r>
            <w:r w:rsidRPr="00311B73">
              <w:rPr>
                <w:rFonts w:ascii="Times New Roman" w:hAnsi="Times New Roman" w:cs="Times New Roman"/>
                <w:i/>
                <w:sz w:val="24"/>
                <w:szCs w:val="24"/>
              </w:rPr>
              <w:t>DE</w:t>
            </w:r>
            <w:r w:rsidRPr="00311B73">
              <w:rPr>
                <w:rFonts w:ascii="Times New Roman" w:hAnsi="Times New Roman" w:cs="Times New Roman"/>
                <w:sz w:val="24"/>
                <w:szCs w:val="24"/>
              </w:rPr>
              <w:t xml:space="preserve"> no reportadas).</w:t>
            </w:r>
          </w:p>
        </w:tc>
        <w:tc>
          <w:tcPr>
            <w:tcW w:w="2384" w:type="dxa"/>
            <w:tcBorders>
              <w:top w:val="single" w:sz="4" w:space="0" w:color="auto"/>
              <w:left w:val="nil"/>
              <w:bottom w:val="single" w:sz="4" w:space="0" w:color="auto"/>
              <w:right w:val="nil"/>
            </w:tcBorders>
            <w:vAlign w:val="center"/>
            <w:hideMark/>
          </w:tcPr>
          <w:p w14:paraId="5FBF1B1C" w14:textId="77777777" w:rsidR="00311B73" w:rsidRPr="00311B73" w:rsidRDefault="00311B73">
            <w:pPr>
              <w:spacing w:line="360" w:lineRule="auto"/>
              <w:rPr>
                <w:rFonts w:ascii="Times New Roman" w:hAnsi="Times New Roman" w:cs="Times New Roman"/>
                <w:sz w:val="24"/>
                <w:szCs w:val="24"/>
              </w:rPr>
            </w:pPr>
            <w:r w:rsidRPr="00311B73">
              <w:rPr>
                <w:rFonts w:ascii="Times New Roman" w:hAnsi="Times New Roman" w:cs="Times New Roman"/>
                <w:sz w:val="24"/>
                <w:szCs w:val="24"/>
              </w:rPr>
              <w:t xml:space="preserve">Versión adaptada directamente del original revisado (edición 1993) por los investigadores. Fue evaluada por 10 jueces expertos y </w:t>
            </w:r>
            <w:r w:rsidRPr="00311B73">
              <w:rPr>
                <w:rFonts w:ascii="Times New Roman" w:hAnsi="Times New Roman" w:cs="Times New Roman"/>
                <w:sz w:val="24"/>
                <w:szCs w:val="24"/>
              </w:rPr>
              <w:lastRenderedPageBreak/>
              <w:t>piloteada con una muestra de N = 81.</w:t>
            </w:r>
          </w:p>
          <w:p w14:paraId="417FDD09" w14:textId="77777777" w:rsidR="00311B73" w:rsidRPr="00311B73" w:rsidRDefault="00311B73">
            <w:pPr>
              <w:spacing w:line="360" w:lineRule="auto"/>
              <w:rPr>
                <w:rFonts w:ascii="Times New Roman" w:hAnsi="Times New Roman" w:cs="Times New Roman"/>
                <w:sz w:val="24"/>
                <w:szCs w:val="24"/>
              </w:rPr>
            </w:pPr>
            <w:r w:rsidRPr="00311B73">
              <w:rPr>
                <w:rFonts w:ascii="Times New Roman" w:hAnsi="Times New Roman" w:cs="Times New Roman"/>
                <w:sz w:val="24"/>
                <w:szCs w:val="24"/>
              </w:rPr>
              <w:t>21 ítems.</w:t>
            </w:r>
          </w:p>
        </w:tc>
        <w:tc>
          <w:tcPr>
            <w:tcW w:w="2945" w:type="dxa"/>
            <w:tcBorders>
              <w:top w:val="single" w:sz="4" w:space="0" w:color="auto"/>
              <w:left w:val="nil"/>
              <w:bottom w:val="single" w:sz="4" w:space="0" w:color="auto"/>
              <w:right w:val="nil"/>
            </w:tcBorders>
            <w:vAlign w:val="center"/>
            <w:hideMark/>
          </w:tcPr>
          <w:p w14:paraId="614F7045" w14:textId="77777777" w:rsidR="00311B73" w:rsidRPr="00311B73" w:rsidRDefault="00311B73">
            <w:pPr>
              <w:spacing w:line="360" w:lineRule="auto"/>
              <w:rPr>
                <w:rFonts w:ascii="Times New Roman" w:hAnsi="Times New Roman" w:cs="Times New Roman"/>
                <w:sz w:val="24"/>
                <w:szCs w:val="24"/>
              </w:rPr>
            </w:pPr>
            <w:proofErr w:type="spellStart"/>
            <w:r w:rsidRPr="00311B73">
              <w:rPr>
                <w:rFonts w:ascii="Times New Roman" w:hAnsi="Times New Roman" w:cs="Times New Roman"/>
                <w:sz w:val="24"/>
                <w:szCs w:val="24"/>
              </w:rPr>
              <w:lastRenderedPageBreak/>
              <w:t>N°</w:t>
            </w:r>
            <w:proofErr w:type="spellEnd"/>
            <w:r w:rsidRPr="00311B73">
              <w:rPr>
                <w:rFonts w:ascii="Times New Roman" w:hAnsi="Times New Roman" w:cs="Times New Roman"/>
                <w:sz w:val="24"/>
                <w:szCs w:val="24"/>
              </w:rPr>
              <w:t xml:space="preserve"> de factores: No se reporta </w:t>
            </w:r>
          </w:p>
          <w:p w14:paraId="3F92E447" w14:textId="77777777" w:rsidR="00311B73" w:rsidRPr="00311B73" w:rsidRDefault="00311B73">
            <w:pPr>
              <w:spacing w:line="360" w:lineRule="auto"/>
              <w:rPr>
                <w:rFonts w:ascii="Times New Roman" w:hAnsi="Times New Roman" w:cs="Times New Roman"/>
                <w:sz w:val="24"/>
                <w:szCs w:val="24"/>
              </w:rPr>
            </w:pPr>
            <w:r w:rsidRPr="00311B73">
              <w:rPr>
                <w:rFonts w:ascii="Times New Roman" w:hAnsi="Times New Roman" w:cs="Times New Roman"/>
                <w:sz w:val="24"/>
                <w:szCs w:val="24"/>
              </w:rPr>
              <w:t xml:space="preserve">Método de estimación: No se reporta, sólo se informa rotación </w:t>
            </w:r>
            <w:proofErr w:type="spellStart"/>
            <w:r w:rsidRPr="00311B73">
              <w:rPr>
                <w:rFonts w:ascii="Times New Roman" w:hAnsi="Times New Roman" w:cs="Times New Roman"/>
                <w:sz w:val="24"/>
                <w:szCs w:val="24"/>
              </w:rPr>
              <w:t>Varimax</w:t>
            </w:r>
            <w:proofErr w:type="spellEnd"/>
            <w:r w:rsidRPr="00311B73">
              <w:rPr>
                <w:rFonts w:ascii="Times New Roman" w:hAnsi="Times New Roman" w:cs="Times New Roman"/>
                <w:sz w:val="24"/>
                <w:szCs w:val="24"/>
              </w:rPr>
              <w:t xml:space="preserve">. </w:t>
            </w:r>
          </w:p>
        </w:tc>
        <w:tc>
          <w:tcPr>
            <w:tcW w:w="1680" w:type="dxa"/>
            <w:tcBorders>
              <w:top w:val="single" w:sz="4" w:space="0" w:color="auto"/>
              <w:left w:val="nil"/>
              <w:bottom w:val="single" w:sz="4" w:space="0" w:color="auto"/>
              <w:right w:val="nil"/>
            </w:tcBorders>
            <w:vAlign w:val="center"/>
            <w:hideMark/>
          </w:tcPr>
          <w:p w14:paraId="014C5023" w14:textId="77777777" w:rsidR="00311B73" w:rsidRPr="00311B73" w:rsidRDefault="00311B73">
            <w:pPr>
              <w:spacing w:line="360" w:lineRule="auto"/>
              <w:rPr>
                <w:rFonts w:ascii="Times New Roman" w:hAnsi="Times New Roman" w:cs="Times New Roman"/>
                <w:sz w:val="24"/>
                <w:szCs w:val="24"/>
              </w:rPr>
            </w:pPr>
            <w:r w:rsidRPr="00311B73">
              <w:rPr>
                <w:rFonts w:ascii="Times New Roman" w:hAnsi="Times New Roman" w:cs="Times New Roman"/>
                <w:sz w:val="24"/>
                <w:szCs w:val="24"/>
              </w:rPr>
              <w:t>No se realizó.</w:t>
            </w:r>
          </w:p>
        </w:tc>
        <w:tc>
          <w:tcPr>
            <w:tcW w:w="2350" w:type="dxa"/>
            <w:tcBorders>
              <w:top w:val="single" w:sz="4" w:space="0" w:color="auto"/>
              <w:left w:val="nil"/>
              <w:bottom w:val="single" w:sz="4" w:space="0" w:color="auto"/>
              <w:right w:val="nil"/>
            </w:tcBorders>
            <w:vAlign w:val="center"/>
            <w:hideMark/>
          </w:tcPr>
          <w:p w14:paraId="67AB081C" w14:textId="77777777" w:rsidR="00311B73" w:rsidRPr="00311B73" w:rsidRDefault="00311B73">
            <w:pPr>
              <w:spacing w:line="360" w:lineRule="auto"/>
              <w:rPr>
                <w:rFonts w:ascii="Times New Roman" w:hAnsi="Times New Roman" w:cs="Times New Roman"/>
                <w:sz w:val="24"/>
                <w:szCs w:val="24"/>
              </w:rPr>
            </w:pPr>
            <w:r w:rsidRPr="00311B73">
              <w:rPr>
                <w:rFonts w:ascii="Times New Roman" w:hAnsi="Times New Roman" w:cs="Times New Roman"/>
                <w:sz w:val="24"/>
                <w:szCs w:val="24"/>
              </w:rPr>
              <w:t>AFE: Solución de tres factores (no se reporta % de varianza explicada por el modelo)</w:t>
            </w:r>
          </w:p>
        </w:tc>
      </w:tr>
      <w:tr w:rsidR="00311B73" w:rsidRPr="00311B73" w14:paraId="7B14C800" w14:textId="77777777" w:rsidTr="00311B73">
        <w:trPr>
          <w:jc w:val="center"/>
        </w:trPr>
        <w:tc>
          <w:tcPr>
            <w:tcW w:w="1404" w:type="dxa"/>
            <w:tcBorders>
              <w:top w:val="single" w:sz="4" w:space="0" w:color="auto"/>
              <w:left w:val="nil"/>
              <w:bottom w:val="single" w:sz="4" w:space="0" w:color="auto"/>
              <w:right w:val="nil"/>
            </w:tcBorders>
            <w:vAlign w:val="center"/>
            <w:hideMark/>
          </w:tcPr>
          <w:p w14:paraId="1B012B2D" w14:textId="1F4BE60D" w:rsidR="00311B73" w:rsidRPr="00311B73" w:rsidRDefault="00311B73">
            <w:pPr>
              <w:spacing w:line="360" w:lineRule="auto"/>
              <w:rPr>
                <w:rFonts w:ascii="Times New Roman" w:hAnsi="Times New Roman" w:cs="Times New Roman"/>
                <w:sz w:val="24"/>
                <w:szCs w:val="24"/>
              </w:rPr>
            </w:pPr>
            <w:r w:rsidRPr="00311B73">
              <w:rPr>
                <w:rFonts w:ascii="Times New Roman" w:hAnsi="Times New Roman" w:cs="Times New Roman"/>
                <w:sz w:val="24"/>
                <w:szCs w:val="24"/>
              </w:rPr>
              <w:t xml:space="preserve">Argentina </w:t>
            </w:r>
          </w:p>
        </w:tc>
        <w:tc>
          <w:tcPr>
            <w:tcW w:w="2242" w:type="dxa"/>
            <w:tcBorders>
              <w:top w:val="single" w:sz="4" w:space="0" w:color="auto"/>
              <w:left w:val="nil"/>
              <w:bottom w:val="single" w:sz="4" w:space="0" w:color="auto"/>
              <w:right w:val="nil"/>
            </w:tcBorders>
            <w:vAlign w:val="center"/>
            <w:hideMark/>
          </w:tcPr>
          <w:p w14:paraId="16E21ACB" w14:textId="77777777" w:rsidR="00311B73" w:rsidRPr="00311B73" w:rsidRDefault="00311B73">
            <w:pPr>
              <w:spacing w:line="360" w:lineRule="auto"/>
              <w:rPr>
                <w:rFonts w:ascii="Times New Roman" w:hAnsi="Times New Roman" w:cs="Times New Roman"/>
                <w:sz w:val="24"/>
                <w:szCs w:val="24"/>
              </w:rPr>
            </w:pPr>
            <w:r w:rsidRPr="00311B73">
              <w:rPr>
                <w:rFonts w:ascii="Times New Roman" w:hAnsi="Times New Roman" w:cs="Times New Roman"/>
                <w:i/>
                <w:sz w:val="24"/>
                <w:szCs w:val="24"/>
              </w:rPr>
              <w:t>N</w:t>
            </w:r>
            <w:r w:rsidRPr="00311B73">
              <w:rPr>
                <w:rFonts w:ascii="Times New Roman" w:hAnsi="Times New Roman" w:cs="Times New Roman"/>
                <w:sz w:val="24"/>
                <w:szCs w:val="24"/>
              </w:rPr>
              <w:t xml:space="preserve"> = 550. Muestra no clínica </w:t>
            </w:r>
          </w:p>
          <w:p w14:paraId="7B2A8F1F" w14:textId="77777777" w:rsidR="00311B73" w:rsidRPr="00311B73" w:rsidRDefault="00311B73">
            <w:pPr>
              <w:spacing w:line="360" w:lineRule="auto"/>
              <w:rPr>
                <w:rFonts w:ascii="Times New Roman" w:hAnsi="Times New Roman" w:cs="Times New Roman"/>
                <w:sz w:val="24"/>
                <w:szCs w:val="24"/>
              </w:rPr>
            </w:pPr>
            <w:r w:rsidRPr="00311B73">
              <w:rPr>
                <w:rFonts w:ascii="Times New Roman" w:hAnsi="Times New Roman" w:cs="Times New Roman"/>
                <w:sz w:val="24"/>
                <w:szCs w:val="24"/>
              </w:rPr>
              <w:t>68% mujeres</w:t>
            </w:r>
          </w:p>
          <w:p w14:paraId="2AC18D00" w14:textId="77777777" w:rsidR="00311B73" w:rsidRPr="00311B73" w:rsidRDefault="00311B73">
            <w:pPr>
              <w:spacing w:line="360" w:lineRule="auto"/>
              <w:rPr>
                <w:rFonts w:ascii="Times New Roman" w:hAnsi="Times New Roman" w:cs="Times New Roman"/>
                <w:sz w:val="24"/>
                <w:szCs w:val="24"/>
              </w:rPr>
            </w:pPr>
            <w:r w:rsidRPr="00311B73">
              <w:rPr>
                <w:rFonts w:ascii="Times New Roman" w:hAnsi="Times New Roman" w:cs="Times New Roman"/>
                <w:sz w:val="24"/>
                <w:szCs w:val="24"/>
              </w:rPr>
              <w:t>18 - 65 años (</w:t>
            </w:r>
            <w:r w:rsidRPr="00311B73">
              <w:rPr>
                <w:rFonts w:ascii="Times New Roman" w:hAnsi="Times New Roman" w:cs="Times New Roman"/>
                <w:i/>
                <w:sz w:val="24"/>
                <w:szCs w:val="24"/>
              </w:rPr>
              <w:t>M</w:t>
            </w:r>
            <w:r w:rsidRPr="00311B73">
              <w:rPr>
                <w:rFonts w:ascii="Times New Roman" w:hAnsi="Times New Roman" w:cs="Times New Roman"/>
                <w:sz w:val="24"/>
                <w:szCs w:val="24"/>
              </w:rPr>
              <w:t xml:space="preserve"> = 29,63; </w:t>
            </w:r>
            <w:r w:rsidRPr="00311B73">
              <w:rPr>
                <w:rFonts w:ascii="Times New Roman" w:hAnsi="Times New Roman" w:cs="Times New Roman"/>
                <w:i/>
                <w:sz w:val="24"/>
                <w:szCs w:val="24"/>
              </w:rPr>
              <w:t>DE</w:t>
            </w:r>
            <w:r w:rsidRPr="00311B73">
              <w:rPr>
                <w:rFonts w:ascii="Times New Roman" w:hAnsi="Times New Roman" w:cs="Times New Roman"/>
                <w:sz w:val="24"/>
                <w:szCs w:val="24"/>
              </w:rPr>
              <w:t xml:space="preserve"> = 0,32). </w:t>
            </w:r>
          </w:p>
        </w:tc>
        <w:tc>
          <w:tcPr>
            <w:tcW w:w="2384" w:type="dxa"/>
            <w:tcBorders>
              <w:top w:val="single" w:sz="4" w:space="0" w:color="auto"/>
              <w:left w:val="nil"/>
              <w:bottom w:val="single" w:sz="4" w:space="0" w:color="auto"/>
              <w:right w:val="nil"/>
            </w:tcBorders>
            <w:vAlign w:val="center"/>
            <w:hideMark/>
          </w:tcPr>
          <w:p w14:paraId="5E4B12D6" w14:textId="77777777" w:rsidR="00311B73" w:rsidRPr="00311B73" w:rsidRDefault="00311B73">
            <w:pPr>
              <w:spacing w:line="360" w:lineRule="auto"/>
              <w:rPr>
                <w:rFonts w:ascii="Times New Roman" w:hAnsi="Times New Roman" w:cs="Times New Roman"/>
                <w:sz w:val="24"/>
                <w:szCs w:val="24"/>
              </w:rPr>
            </w:pPr>
            <w:r w:rsidRPr="00311B73">
              <w:rPr>
                <w:rFonts w:ascii="Times New Roman" w:hAnsi="Times New Roman" w:cs="Times New Roman"/>
                <w:sz w:val="24"/>
                <w:szCs w:val="24"/>
              </w:rPr>
              <w:t>No explicitan versión utilizada, pero citan la versión en inglés revisada de Beck et al. (1979).</w:t>
            </w:r>
          </w:p>
          <w:p w14:paraId="011E93C8" w14:textId="77777777" w:rsidR="00311B73" w:rsidRPr="00311B73" w:rsidRDefault="00311B73">
            <w:pPr>
              <w:spacing w:line="360" w:lineRule="auto"/>
              <w:rPr>
                <w:rFonts w:ascii="Times New Roman" w:hAnsi="Times New Roman" w:cs="Times New Roman"/>
                <w:sz w:val="24"/>
                <w:szCs w:val="24"/>
              </w:rPr>
            </w:pPr>
            <w:r w:rsidRPr="00311B73">
              <w:rPr>
                <w:rFonts w:ascii="Times New Roman" w:hAnsi="Times New Roman" w:cs="Times New Roman"/>
                <w:sz w:val="24"/>
                <w:szCs w:val="24"/>
              </w:rPr>
              <w:t>21 ítems.</w:t>
            </w:r>
          </w:p>
        </w:tc>
        <w:tc>
          <w:tcPr>
            <w:tcW w:w="2945" w:type="dxa"/>
            <w:tcBorders>
              <w:top w:val="single" w:sz="4" w:space="0" w:color="auto"/>
              <w:left w:val="nil"/>
              <w:bottom w:val="single" w:sz="4" w:space="0" w:color="auto"/>
              <w:right w:val="nil"/>
            </w:tcBorders>
            <w:vAlign w:val="center"/>
            <w:hideMark/>
          </w:tcPr>
          <w:p w14:paraId="0D1812B0" w14:textId="77777777" w:rsidR="00311B73" w:rsidRPr="00311B73" w:rsidRDefault="00311B73">
            <w:pPr>
              <w:spacing w:line="360" w:lineRule="auto"/>
              <w:rPr>
                <w:rFonts w:ascii="Times New Roman" w:hAnsi="Times New Roman" w:cs="Times New Roman"/>
                <w:sz w:val="24"/>
                <w:szCs w:val="24"/>
              </w:rPr>
            </w:pPr>
            <w:proofErr w:type="spellStart"/>
            <w:r w:rsidRPr="00311B73">
              <w:rPr>
                <w:rFonts w:ascii="Times New Roman" w:hAnsi="Times New Roman" w:cs="Times New Roman"/>
                <w:sz w:val="24"/>
                <w:szCs w:val="24"/>
              </w:rPr>
              <w:t>N°</w:t>
            </w:r>
            <w:proofErr w:type="spellEnd"/>
            <w:r w:rsidRPr="00311B73">
              <w:rPr>
                <w:rFonts w:ascii="Times New Roman" w:hAnsi="Times New Roman" w:cs="Times New Roman"/>
                <w:sz w:val="24"/>
                <w:szCs w:val="24"/>
              </w:rPr>
              <w:t xml:space="preserve"> de factores: Criterio Kaiser (</w:t>
            </w:r>
            <w:proofErr w:type="spellStart"/>
            <w:r w:rsidRPr="00311B73">
              <w:rPr>
                <w:rFonts w:ascii="Times New Roman" w:hAnsi="Times New Roman" w:cs="Times New Roman"/>
                <w:i/>
                <w:sz w:val="24"/>
                <w:szCs w:val="24"/>
              </w:rPr>
              <w:t>eigenvalue</w:t>
            </w:r>
            <w:proofErr w:type="spellEnd"/>
            <w:r w:rsidRPr="00311B73">
              <w:rPr>
                <w:rFonts w:ascii="Times New Roman" w:hAnsi="Times New Roman" w:cs="Times New Roman"/>
                <w:sz w:val="24"/>
                <w:szCs w:val="24"/>
              </w:rPr>
              <w:t xml:space="preserve"> ≥ 1); </w:t>
            </w:r>
            <w:r w:rsidRPr="00311B73">
              <w:rPr>
                <w:rFonts w:ascii="Times New Roman" w:hAnsi="Times New Roman" w:cs="Times New Roman"/>
                <w:i/>
                <w:sz w:val="24"/>
                <w:szCs w:val="24"/>
              </w:rPr>
              <w:t>saturación</w:t>
            </w:r>
            <w:r w:rsidRPr="00311B73">
              <w:rPr>
                <w:rFonts w:ascii="Times New Roman" w:hAnsi="Times New Roman" w:cs="Times New Roman"/>
                <w:sz w:val="24"/>
                <w:szCs w:val="24"/>
              </w:rPr>
              <w:t xml:space="preserve"> ≥ 0,30 y </w:t>
            </w:r>
            <w:proofErr w:type="spellStart"/>
            <w:r w:rsidRPr="00311B73">
              <w:rPr>
                <w:rFonts w:ascii="Times New Roman" w:hAnsi="Times New Roman" w:cs="Times New Roman"/>
                <w:i/>
                <w:iCs/>
                <w:sz w:val="24"/>
                <w:szCs w:val="24"/>
              </w:rPr>
              <w:t>scree</w:t>
            </w:r>
            <w:proofErr w:type="spellEnd"/>
            <w:r w:rsidRPr="00311B73">
              <w:rPr>
                <w:rFonts w:ascii="Times New Roman" w:hAnsi="Times New Roman" w:cs="Times New Roman"/>
                <w:i/>
                <w:iCs/>
                <w:sz w:val="24"/>
                <w:szCs w:val="24"/>
              </w:rPr>
              <w:t xml:space="preserve"> test</w:t>
            </w:r>
            <w:r w:rsidRPr="00311B73">
              <w:rPr>
                <w:rFonts w:ascii="Times New Roman" w:hAnsi="Times New Roman" w:cs="Times New Roman"/>
                <w:iCs/>
                <w:sz w:val="24"/>
                <w:szCs w:val="24"/>
              </w:rPr>
              <w:t>. No especifican el criterio decisivo.</w:t>
            </w:r>
          </w:p>
          <w:p w14:paraId="6F9191CC" w14:textId="77777777" w:rsidR="00311B73" w:rsidRPr="00311B73" w:rsidRDefault="00311B73">
            <w:pPr>
              <w:spacing w:line="360" w:lineRule="auto"/>
              <w:rPr>
                <w:rFonts w:ascii="Times New Roman" w:hAnsi="Times New Roman" w:cs="Times New Roman"/>
                <w:sz w:val="24"/>
                <w:szCs w:val="24"/>
              </w:rPr>
            </w:pPr>
            <w:r w:rsidRPr="00311B73">
              <w:rPr>
                <w:rFonts w:ascii="Times New Roman" w:hAnsi="Times New Roman" w:cs="Times New Roman"/>
                <w:sz w:val="24"/>
                <w:szCs w:val="24"/>
              </w:rPr>
              <w:t xml:space="preserve">Método de estimación: componentes principales con rotación </w:t>
            </w:r>
            <w:proofErr w:type="spellStart"/>
            <w:r w:rsidRPr="00311B73">
              <w:rPr>
                <w:rFonts w:ascii="Times New Roman" w:hAnsi="Times New Roman" w:cs="Times New Roman"/>
                <w:sz w:val="24"/>
                <w:szCs w:val="24"/>
              </w:rPr>
              <w:t>promax</w:t>
            </w:r>
            <w:proofErr w:type="spellEnd"/>
            <w:r w:rsidRPr="00311B73">
              <w:rPr>
                <w:rFonts w:ascii="Times New Roman" w:hAnsi="Times New Roman" w:cs="Times New Roman"/>
                <w:sz w:val="24"/>
                <w:szCs w:val="24"/>
              </w:rPr>
              <w:t>.</w:t>
            </w:r>
          </w:p>
        </w:tc>
        <w:tc>
          <w:tcPr>
            <w:tcW w:w="1680" w:type="dxa"/>
            <w:tcBorders>
              <w:top w:val="single" w:sz="4" w:space="0" w:color="auto"/>
              <w:left w:val="nil"/>
              <w:bottom w:val="single" w:sz="4" w:space="0" w:color="auto"/>
              <w:right w:val="nil"/>
            </w:tcBorders>
            <w:vAlign w:val="center"/>
            <w:hideMark/>
          </w:tcPr>
          <w:p w14:paraId="3E933CBA" w14:textId="77777777" w:rsidR="00311B73" w:rsidRPr="00311B73" w:rsidRDefault="00311B73">
            <w:pPr>
              <w:spacing w:line="360" w:lineRule="auto"/>
              <w:rPr>
                <w:rFonts w:ascii="Times New Roman" w:hAnsi="Times New Roman" w:cs="Times New Roman"/>
                <w:sz w:val="24"/>
                <w:szCs w:val="24"/>
              </w:rPr>
            </w:pPr>
            <w:r w:rsidRPr="00311B73">
              <w:rPr>
                <w:rFonts w:ascii="Times New Roman" w:hAnsi="Times New Roman" w:cs="Times New Roman"/>
                <w:sz w:val="24"/>
                <w:szCs w:val="24"/>
              </w:rPr>
              <w:t>No se realizó.</w:t>
            </w:r>
          </w:p>
        </w:tc>
        <w:tc>
          <w:tcPr>
            <w:tcW w:w="2350" w:type="dxa"/>
            <w:tcBorders>
              <w:top w:val="single" w:sz="4" w:space="0" w:color="auto"/>
              <w:left w:val="nil"/>
              <w:bottom w:val="single" w:sz="4" w:space="0" w:color="auto"/>
              <w:right w:val="nil"/>
            </w:tcBorders>
            <w:vAlign w:val="center"/>
            <w:hideMark/>
          </w:tcPr>
          <w:p w14:paraId="318D864F" w14:textId="77777777" w:rsidR="00311B73" w:rsidRPr="00311B73" w:rsidRDefault="00311B73">
            <w:pPr>
              <w:spacing w:line="360" w:lineRule="auto"/>
              <w:rPr>
                <w:rFonts w:ascii="Times New Roman" w:hAnsi="Times New Roman" w:cs="Times New Roman"/>
                <w:sz w:val="24"/>
                <w:szCs w:val="24"/>
              </w:rPr>
            </w:pPr>
            <w:r w:rsidRPr="00311B73">
              <w:rPr>
                <w:rFonts w:ascii="Times New Roman" w:hAnsi="Times New Roman" w:cs="Times New Roman"/>
                <w:sz w:val="24"/>
                <w:szCs w:val="24"/>
              </w:rPr>
              <w:t xml:space="preserve">AFE: Solución de dos factores relacionados, (27 % de varianza explicada). </w:t>
            </w:r>
          </w:p>
          <w:p w14:paraId="1D665D44" w14:textId="77777777" w:rsidR="00311B73" w:rsidRPr="00311B73" w:rsidRDefault="00311B73">
            <w:pPr>
              <w:spacing w:line="360" w:lineRule="auto"/>
              <w:rPr>
                <w:rFonts w:ascii="Times New Roman" w:hAnsi="Times New Roman" w:cs="Times New Roman"/>
                <w:sz w:val="24"/>
                <w:szCs w:val="24"/>
              </w:rPr>
            </w:pPr>
            <w:r w:rsidRPr="00311B73">
              <w:rPr>
                <w:rFonts w:ascii="Times New Roman" w:hAnsi="Times New Roman" w:cs="Times New Roman"/>
                <w:sz w:val="24"/>
                <w:szCs w:val="24"/>
              </w:rPr>
              <w:t>Solución final elimina un ítem.</w:t>
            </w:r>
          </w:p>
        </w:tc>
      </w:tr>
      <w:tr w:rsidR="00311B73" w:rsidRPr="00311B73" w14:paraId="23549C95" w14:textId="77777777" w:rsidTr="00311B73">
        <w:trPr>
          <w:jc w:val="center"/>
        </w:trPr>
        <w:tc>
          <w:tcPr>
            <w:tcW w:w="1404" w:type="dxa"/>
            <w:tcBorders>
              <w:top w:val="single" w:sz="4" w:space="0" w:color="auto"/>
              <w:left w:val="nil"/>
              <w:bottom w:val="single" w:sz="4" w:space="0" w:color="auto"/>
              <w:right w:val="nil"/>
            </w:tcBorders>
            <w:vAlign w:val="center"/>
            <w:hideMark/>
          </w:tcPr>
          <w:p w14:paraId="6749A115" w14:textId="2C10E5C8" w:rsidR="00311B73" w:rsidRPr="00311B73" w:rsidRDefault="00311B73">
            <w:pPr>
              <w:spacing w:line="360" w:lineRule="auto"/>
              <w:rPr>
                <w:rFonts w:ascii="Times New Roman" w:hAnsi="Times New Roman" w:cs="Times New Roman"/>
                <w:sz w:val="24"/>
                <w:szCs w:val="24"/>
              </w:rPr>
            </w:pPr>
            <w:r w:rsidRPr="00311B73">
              <w:rPr>
                <w:rFonts w:ascii="Times New Roman" w:hAnsi="Times New Roman" w:cs="Times New Roman"/>
                <w:sz w:val="24"/>
                <w:szCs w:val="24"/>
              </w:rPr>
              <w:t xml:space="preserve">Puerto Rico </w:t>
            </w:r>
          </w:p>
        </w:tc>
        <w:tc>
          <w:tcPr>
            <w:tcW w:w="2242" w:type="dxa"/>
            <w:tcBorders>
              <w:top w:val="single" w:sz="4" w:space="0" w:color="auto"/>
              <w:left w:val="nil"/>
              <w:bottom w:val="single" w:sz="4" w:space="0" w:color="auto"/>
              <w:right w:val="nil"/>
            </w:tcBorders>
            <w:vAlign w:val="center"/>
            <w:hideMark/>
          </w:tcPr>
          <w:p w14:paraId="0EB590DA" w14:textId="77777777" w:rsidR="00311B73" w:rsidRPr="00311B73" w:rsidRDefault="00311B73">
            <w:pPr>
              <w:spacing w:line="360" w:lineRule="auto"/>
              <w:rPr>
                <w:rFonts w:ascii="Times New Roman" w:hAnsi="Times New Roman" w:cs="Times New Roman"/>
                <w:sz w:val="24"/>
                <w:szCs w:val="24"/>
              </w:rPr>
            </w:pPr>
            <w:r w:rsidRPr="00311B73">
              <w:rPr>
                <w:rFonts w:ascii="Times New Roman" w:hAnsi="Times New Roman" w:cs="Times New Roman"/>
                <w:i/>
                <w:sz w:val="24"/>
                <w:szCs w:val="24"/>
              </w:rPr>
              <w:t>N</w:t>
            </w:r>
            <w:r w:rsidRPr="00311B73">
              <w:rPr>
                <w:rFonts w:ascii="Times New Roman" w:hAnsi="Times New Roman" w:cs="Times New Roman"/>
                <w:sz w:val="24"/>
                <w:szCs w:val="24"/>
              </w:rPr>
              <w:t xml:space="preserve"> = 351. Muestra no clínica</w:t>
            </w:r>
          </w:p>
          <w:p w14:paraId="6682B616" w14:textId="77777777" w:rsidR="00311B73" w:rsidRPr="00311B73" w:rsidRDefault="00311B73">
            <w:pPr>
              <w:spacing w:line="360" w:lineRule="auto"/>
              <w:rPr>
                <w:rFonts w:ascii="Times New Roman" w:hAnsi="Times New Roman" w:cs="Times New Roman"/>
                <w:sz w:val="24"/>
                <w:szCs w:val="24"/>
              </w:rPr>
            </w:pPr>
            <w:r w:rsidRPr="00311B73">
              <w:rPr>
                <w:rFonts w:ascii="Times New Roman" w:hAnsi="Times New Roman" w:cs="Times New Roman"/>
                <w:sz w:val="24"/>
                <w:szCs w:val="24"/>
              </w:rPr>
              <w:t>69% mujeres</w:t>
            </w:r>
          </w:p>
          <w:p w14:paraId="3F90615A" w14:textId="77777777" w:rsidR="00311B73" w:rsidRPr="00311B73" w:rsidRDefault="00311B73">
            <w:pPr>
              <w:spacing w:line="360" w:lineRule="auto"/>
              <w:rPr>
                <w:rFonts w:ascii="Times New Roman" w:hAnsi="Times New Roman" w:cs="Times New Roman"/>
                <w:sz w:val="24"/>
                <w:szCs w:val="24"/>
              </w:rPr>
            </w:pPr>
            <w:r w:rsidRPr="00311B73">
              <w:rPr>
                <w:rFonts w:ascii="Times New Roman" w:hAnsi="Times New Roman" w:cs="Times New Roman"/>
                <w:sz w:val="24"/>
                <w:szCs w:val="24"/>
              </w:rPr>
              <w:t>Rango de edad no reportado (</w:t>
            </w:r>
            <w:r w:rsidRPr="00311B73">
              <w:rPr>
                <w:rFonts w:ascii="Times New Roman" w:hAnsi="Times New Roman" w:cs="Times New Roman"/>
                <w:i/>
                <w:sz w:val="24"/>
                <w:szCs w:val="24"/>
              </w:rPr>
              <w:t>M</w:t>
            </w:r>
            <w:r w:rsidRPr="00311B73">
              <w:rPr>
                <w:rFonts w:ascii="Times New Roman" w:hAnsi="Times New Roman" w:cs="Times New Roman"/>
                <w:sz w:val="24"/>
                <w:szCs w:val="24"/>
              </w:rPr>
              <w:t xml:space="preserve"> = 21,65, </w:t>
            </w:r>
            <w:r w:rsidRPr="00311B73">
              <w:rPr>
                <w:rFonts w:ascii="Times New Roman" w:hAnsi="Times New Roman" w:cs="Times New Roman"/>
                <w:i/>
                <w:iCs/>
                <w:sz w:val="24"/>
                <w:szCs w:val="24"/>
              </w:rPr>
              <w:t>DE</w:t>
            </w:r>
            <w:r w:rsidRPr="00311B73">
              <w:rPr>
                <w:rFonts w:ascii="Times New Roman" w:hAnsi="Times New Roman" w:cs="Times New Roman"/>
                <w:sz w:val="24"/>
                <w:szCs w:val="24"/>
              </w:rPr>
              <w:t xml:space="preserve"> = 4,03) </w:t>
            </w:r>
          </w:p>
        </w:tc>
        <w:tc>
          <w:tcPr>
            <w:tcW w:w="2384" w:type="dxa"/>
            <w:tcBorders>
              <w:top w:val="single" w:sz="4" w:space="0" w:color="auto"/>
              <w:left w:val="nil"/>
              <w:bottom w:val="single" w:sz="4" w:space="0" w:color="auto"/>
              <w:right w:val="nil"/>
            </w:tcBorders>
            <w:vAlign w:val="center"/>
            <w:hideMark/>
          </w:tcPr>
          <w:p w14:paraId="20F3A119" w14:textId="77777777" w:rsidR="00311B73" w:rsidRPr="00311B73" w:rsidRDefault="00311B73">
            <w:pPr>
              <w:spacing w:line="360" w:lineRule="auto"/>
              <w:rPr>
                <w:rFonts w:ascii="Times New Roman" w:hAnsi="Times New Roman" w:cs="Times New Roman"/>
                <w:sz w:val="24"/>
                <w:szCs w:val="24"/>
              </w:rPr>
            </w:pPr>
            <w:r w:rsidRPr="00311B73">
              <w:rPr>
                <w:rFonts w:ascii="Times New Roman" w:hAnsi="Times New Roman" w:cs="Times New Roman"/>
                <w:sz w:val="24"/>
                <w:szCs w:val="24"/>
              </w:rPr>
              <w:t xml:space="preserve">Versión adaptada del original en inglés. </w:t>
            </w:r>
          </w:p>
          <w:p w14:paraId="3D780909" w14:textId="77777777" w:rsidR="00311B73" w:rsidRPr="00311B73" w:rsidRDefault="00311B73">
            <w:pPr>
              <w:spacing w:line="360" w:lineRule="auto"/>
              <w:rPr>
                <w:rFonts w:ascii="Times New Roman" w:hAnsi="Times New Roman" w:cs="Times New Roman"/>
                <w:sz w:val="24"/>
                <w:szCs w:val="24"/>
              </w:rPr>
            </w:pPr>
            <w:r w:rsidRPr="00311B73">
              <w:rPr>
                <w:rFonts w:ascii="Times New Roman" w:hAnsi="Times New Roman" w:cs="Times New Roman"/>
                <w:sz w:val="24"/>
                <w:szCs w:val="24"/>
              </w:rPr>
              <w:t>22 ítems.</w:t>
            </w:r>
          </w:p>
        </w:tc>
        <w:tc>
          <w:tcPr>
            <w:tcW w:w="2945" w:type="dxa"/>
            <w:tcBorders>
              <w:top w:val="single" w:sz="4" w:space="0" w:color="auto"/>
              <w:left w:val="nil"/>
              <w:bottom w:val="single" w:sz="4" w:space="0" w:color="auto"/>
              <w:right w:val="nil"/>
            </w:tcBorders>
            <w:vAlign w:val="center"/>
            <w:hideMark/>
          </w:tcPr>
          <w:p w14:paraId="40FF66A7" w14:textId="77777777" w:rsidR="00311B73" w:rsidRPr="00311B73" w:rsidRDefault="00311B73">
            <w:pPr>
              <w:spacing w:line="360" w:lineRule="auto"/>
              <w:rPr>
                <w:rFonts w:ascii="Times New Roman" w:hAnsi="Times New Roman" w:cs="Times New Roman"/>
                <w:sz w:val="24"/>
                <w:szCs w:val="24"/>
              </w:rPr>
            </w:pPr>
            <w:proofErr w:type="spellStart"/>
            <w:r w:rsidRPr="00311B73">
              <w:rPr>
                <w:rFonts w:ascii="Times New Roman" w:hAnsi="Times New Roman" w:cs="Times New Roman"/>
                <w:sz w:val="24"/>
                <w:szCs w:val="24"/>
              </w:rPr>
              <w:t>N°</w:t>
            </w:r>
            <w:proofErr w:type="spellEnd"/>
            <w:r w:rsidRPr="00311B73">
              <w:rPr>
                <w:rFonts w:ascii="Times New Roman" w:hAnsi="Times New Roman" w:cs="Times New Roman"/>
                <w:sz w:val="24"/>
                <w:szCs w:val="24"/>
              </w:rPr>
              <w:t xml:space="preserve"> de factores: </w:t>
            </w:r>
            <w:r w:rsidRPr="00311B73">
              <w:rPr>
                <w:rFonts w:ascii="Times New Roman" w:hAnsi="Times New Roman" w:cs="Times New Roman"/>
                <w:iCs/>
                <w:sz w:val="24"/>
                <w:szCs w:val="24"/>
              </w:rPr>
              <w:t>No se reporta criterio.</w:t>
            </w:r>
          </w:p>
          <w:p w14:paraId="2111D9FB" w14:textId="77777777" w:rsidR="00311B73" w:rsidRPr="00311B73" w:rsidRDefault="00311B73">
            <w:pPr>
              <w:spacing w:line="360" w:lineRule="auto"/>
              <w:rPr>
                <w:rFonts w:ascii="Times New Roman" w:hAnsi="Times New Roman" w:cs="Times New Roman"/>
                <w:sz w:val="24"/>
                <w:szCs w:val="24"/>
              </w:rPr>
            </w:pPr>
            <w:r w:rsidRPr="00311B73">
              <w:rPr>
                <w:rFonts w:ascii="Times New Roman" w:hAnsi="Times New Roman" w:cs="Times New Roman"/>
                <w:sz w:val="24"/>
                <w:szCs w:val="24"/>
              </w:rPr>
              <w:t xml:space="preserve">Método de estimación: componentes principales con rotación </w:t>
            </w:r>
            <w:proofErr w:type="spellStart"/>
            <w:r w:rsidRPr="00311B73">
              <w:rPr>
                <w:rFonts w:ascii="Times New Roman" w:hAnsi="Times New Roman" w:cs="Times New Roman"/>
                <w:sz w:val="24"/>
                <w:szCs w:val="24"/>
              </w:rPr>
              <w:t>Varimax</w:t>
            </w:r>
            <w:proofErr w:type="spellEnd"/>
            <w:r w:rsidRPr="00311B73">
              <w:rPr>
                <w:rFonts w:ascii="Times New Roman" w:hAnsi="Times New Roman" w:cs="Times New Roman"/>
                <w:sz w:val="24"/>
                <w:szCs w:val="24"/>
              </w:rPr>
              <w:t>.</w:t>
            </w:r>
          </w:p>
        </w:tc>
        <w:tc>
          <w:tcPr>
            <w:tcW w:w="1680" w:type="dxa"/>
            <w:tcBorders>
              <w:top w:val="single" w:sz="4" w:space="0" w:color="auto"/>
              <w:left w:val="nil"/>
              <w:bottom w:val="single" w:sz="4" w:space="0" w:color="auto"/>
              <w:right w:val="nil"/>
            </w:tcBorders>
            <w:vAlign w:val="center"/>
            <w:hideMark/>
          </w:tcPr>
          <w:p w14:paraId="44E42655" w14:textId="77777777" w:rsidR="00311B73" w:rsidRPr="00311B73" w:rsidRDefault="00311B73">
            <w:pPr>
              <w:spacing w:line="360" w:lineRule="auto"/>
              <w:rPr>
                <w:rFonts w:ascii="Times New Roman" w:hAnsi="Times New Roman" w:cs="Times New Roman"/>
                <w:sz w:val="24"/>
                <w:szCs w:val="24"/>
              </w:rPr>
            </w:pPr>
            <w:r w:rsidRPr="00311B73">
              <w:rPr>
                <w:rFonts w:ascii="Times New Roman" w:hAnsi="Times New Roman" w:cs="Times New Roman"/>
                <w:sz w:val="24"/>
                <w:szCs w:val="24"/>
              </w:rPr>
              <w:t>No se realizó.</w:t>
            </w:r>
          </w:p>
        </w:tc>
        <w:tc>
          <w:tcPr>
            <w:tcW w:w="2350" w:type="dxa"/>
            <w:tcBorders>
              <w:top w:val="single" w:sz="4" w:space="0" w:color="auto"/>
              <w:left w:val="nil"/>
              <w:bottom w:val="single" w:sz="4" w:space="0" w:color="auto"/>
              <w:right w:val="nil"/>
            </w:tcBorders>
            <w:vAlign w:val="center"/>
            <w:hideMark/>
          </w:tcPr>
          <w:p w14:paraId="7F9F74E6" w14:textId="77777777" w:rsidR="00311B73" w:rsidRPr="00311B73" w:rsidRDefault="00311B73">
            <w:pPr>
              <w:spacing w:line="360" w:lineRule="auto"/>
              <w:rPr>
                <w:rFonts w:ascii="Times New Roman" w:hAnsi="Times New Roman" w:cs="Times New Roman"/>
                <w:sz w:val="24"/>
                <w:szCs w:val="24"/>
              </w:rPr>
            </w:pPr>
            <w:r w:rsidRPr="00311B73">
              <w:rPr>
                <w:rFonts w:ascii="Times New Roman" w:hAnsi="Times New Roman" w:cs="Times New Roman"/>
                <w:sz w:val="24"/>
                <w:szCs w:val="24"/>
              </w:rPr>
              <w:t>AFE: Solución de cuatro factores, (49 % de varianza explicada).</w:t>
            </w:r>
          </w:p>
        </w:tc>
      </w:tr>
    </w:tbl>
    <w:p w14:paraId="0007D1E1" w14:textId="77777777" w:rsidR="00311B73" w:rsidRDefault="00311B73" w:rsidP="00311B73">
      <w:pPr>
        <w:spacing w:line="360" w:lineRule="auto"/>
        <w:rPr>
          <w:rFonts w:ascii="Arial" w:hAnsi="Arial" w:cs="Arial"/>
          <w:sz w:val="24"/>
          <w:szCs w:val="24"/>
        </w:rPr>
      </w:pPr>
    </w:p>
    <w:p w14:paraId="6B1B5615" w14:textId="70510F97" w:rsidR="00A13C03" w:rsidRDefault="00A13C03" w:rsidP="00526A27">
      <w:pPr>
        <w:spacing w:line="360" w:lineRule="auto"/>
        <w:jc w:val="both"/>
        <w:rPr>
          <w:rFonts w:ascii="Times New Roman" w:hAnsi="Times New Roman" w:cs="Times New Roman"/>
          <w:sz w:val="24"/>
          <w:szCs w:val="24"/>
        </w:rPr>
      </w:pPr>
    </w:p>
    <w:p w14:paraId="7808F03E" w14:textId="77777777" w:rsidR="00311B73" w:rsidRDefault="00A13C03">
      <w:pPr>
        <w:rPr>
          <w:rFonts w:ascii="Times New Roman" w:hAnsi="Times New Roman" w:cs="Times New Roman"/>
          <w:sz w:val="24"/>
          <w:szCs w:val="24"/>
        </w:rPr>
        <w:sectPr w:rsidR="00311B73" w:rsidSect="00D82978">
          <w:pgSz w:w="15840" w:h="12240" w:orient="landscape"/>
          <w:pgMar w:top="1701" w:right="1418" w:bottom="1701" w:left="1418" w:header="709" w:footer="709" w:gutter="0"/>
          <w:cols w:space="708"/>
          <w:docGrid w:linePitch="360"/>
        </w:sectPr>
      </w:pPr>
      <w:r>
        <w:rPr>
          <w:rFonts w:ascii="Times New Roman" w:hAnsi="Times New Roman" w:cs="Times New Roman"/>
          <w:sz w:val="24"/>
          <w:szCs w:val="24"/>
        </w:rPr>
        <w:br w:type="page"/>
      </w:r>
    </w:p>
    <w:p w14:paraId="12C258F8" w14:textId="3BB0310B" w:rsidR="00A72AD8" w:rsidRPr="00526A27" w:rsidRDefault="57FB4585" w:rsidP="57FB4585">
      <w:pPr>
        <w:spacing w:line="360" w:lineRule="auto"/>
        <w:jc w:val="both"/>
        <w:rPr>
          <w:rFonts w:ascii="Times New Roman" w:hAnsi="Times New Roman" w:cs="Times New Roman"/>
          <w:sz w:val="24"/>
          <w:szCs w:val="24"/>
        </w:rPr>
      </w:pPr>
      <w:bookmarkStart w:id="6" w:name="move4886045031"/>
      <w:bookmarkEnd w:id="6"/>
      <w:r w:rsidRPr="57FB4585">
        <w:rPr>
          <w:rFonts w:ascii="Times New Roman" w:hAnsi="Times New Roman" w:cs="Times New Roman"/>
          <w:sz w:val="24"/>
          <w:szCs w:val="24"/>
        </w:rPr>
        <w:lastRenderedPageBreak/>
        <w:t>Para concluir, se puede señalar que, a la luz de los resultados obtenidos, la versión chilena del BDI-IA presenta adecuadas propiedades psicométricas como instrumento de evaluación del síndrome depresivo, lo que permite recomendar su elección como instrumento de cribado para clasificar a los sujetos como deprimidos o no deprimidos, tanto en contextos clínicos como de investigación. Por otro lado, dado que este instrumento no requiere pago ni autorización por parte de sus autores para ser utilizado y que ha mostrado ser una herramienta efectiva de detección de depresión en atención primaria, podrá ser de gran utilidad en contextos de salud pública tanto para su uso en población general, como en pacientes ya diagnosticados.</w:t>
      </w:r>
    </w:p>
    <w:p w14:paraId="7319B36D" w14:textId="48314B13" w:rsidR="00766415" w:rsidRDefault="00766415">
      <w:pPr>
        <w:rPr>
          <w:rFonts w:ascii="Times New Roman" w:hAnsi="Times New Roman" w:cs="Times New Roman"/>
          <w:sz w:val="24"/>
          <w:szCs w:val="24"/>
        </w:rPr>
      </w:pPr>
      <w:r>
        <w:rPr>
          <w:rFonts w:ascii="Times New Roman" w:hAnsi="Times New Roman" w:cs="Times New Roman"/>
          <w:sz w:val="24"/>
          <w:szCs w:val="24"/>
        </w:rPr>
        <w:br w:type="page"/>
      </w:r>
    </w:p>
    <w:p w14:paraId="2619E814" w14:textId="56778D73" w:rsidR="009B11EB" w:rsidRDefault="00766415" w:rsidP="00651A87">
      <w:pPr>
        <w:spacing w:after="0" w:line="360" w:lineRule="auto"/>
        <w:jc w:val="center"/>
        <w:rPr>
          <w:rFonts w:ascii="Times New Roman" w:hAnsi="Times New Roman" w:cs="Times New Roman"/>
          <w:b/>
          <w:sz w:val="24"/>
          <w:szCs w:val="24"/>
        </w:rPr>
      </w:pPr>
      <w:r w:rsidRPr="00766415">
        <w:rPr>
          <w:rFonts w:ascii="Times New Roman" w:hAnsi="Times New Roman" w:cs="Times New Roman"/>
          <w:b/>
          <w:sz w:val="24"/>
          <w:szCs w:val="24"/>
        </w:rPr>
        <w:lastRenderedPageBreak/>
        <w:t xml:space="preserve">Capítulo </w:t>
      </w:r>
      <w:r w:rsidR="00D11BAC">
        <w:rPr>
          <w:rFonts w:ascii="Times New Roman" w:hAnsi="Times New Roman" w:cs="Times New Roman"/>
          <w:b/>
          <w:sz w:val="24"/>
          <w:szCs w:val="24"/>
        </w:rPr>
        <w:t>III</w:t>
      </w:r>
    </w:p>
    <w:p w14:paraId="22C54B31" w14:textId="11512EAB" w:rsidR="00651A87" w:rsidRDefault="00B07E71" w:rsidP="00651A87">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Características</w:t>
      </w:r>
      <w:r w:rsidR="00496707">
        <w:rPr>
          <w:rFonts w:ascii="Times New Roman" w:hAnsi="Times New Roman" w:cs="Times New Roman"/>
          <w:b/>
          <w:sz w:val="24"/>
          <w:szCs w:val="24"/>
        </w:rPr>
        <w:t xml:space="preserve"> sociodemográficas, clínicas y resultados de terapia </w:t>
      </w:r>
      <w:r>
        <w:rPr>
          <w:rFonts w:ascii="Times New Roman" w:hAnsi="Times New Roman" w:cs="Times New Roman"/>
          <w:b/>
          <w:sz w:val="24"/>
          <w:szCs w:val="24"/>
        </w:rPr>
        <w:t>de</w:t>
      </w:r>
      <w:r w:rsidR="00496707">
        <w:rPr>
          <w:rFonts w:ascii="Times New Roman" w:hAnsi="Times New Roman" w:cs="Times New Roman"/>
          <w:b/>
          <w:sz w:val="24"/>
          <w:szCs w:val="24"/>
        </w:rPr>
        <w:t xml:space="preserve"> pacientes depresivos atendidos en instituciones públicas y </w:t>
      </w:r>
      <w:r>
        <w:rPr>
          <w:rFonts w:ascii="Times New Roman" w:hAnsi="Times New Roman" w:cs="Times New Roman"/>
          <w:b/>
          <w:sz w:val="24"/>
          <w:szCs w:val="24"/>
        </w:rPr>
        <w:t>de centros universitarios</w:t>
      </w:r>
      <w:r w:rsidR="00496707">
        <w:rPr>
          <w:rFonts w:ascii="Times New Roman" w:hAnsi="Times New Roman" w:cs="Times New Roman"/>
          <w:b/>
          <w:sz w:val="24"/>
          <w:szCs w:val="24"/>
        </w:rPr>
        <w:t>, en la Región Metropolitana.</w:t>
      </w:r>
    </w:p>
    <w:p w14:paraId="3493F4A7" w14:textId="77777777" w:rsidR="00651A87" w:rsidRDefault="00651A87" w:rsidP="0075678D">
      <w:pPr>
        <w:spacing w:after="0" w:line="360" w:lineRule="auto"/>
        <w:jc w:val="both"/>
        <w:rPr>
          <w:rFonts w:ascii="Times New Roman" w:hAnsi="Times New Roman" w:cs="Times New Roman"/>
          <w:b/>
          <w:sz w:val="24"/>
          <w:szCs w:val="24"/>
        </w:rPr>
      </w:pPr>
    </w:p>
    <w:p w14:paraId="4A5BB34C" w14:textId="3AFA3876" w:rsidR="00F20CCC" w:rsidRDefault="00F20CCC" w:rsidP="0075678D">
      <w:pPr>
        <w:spacing w:after="0" w:line="360" w:lineRule="auto"/>
        <w:jc w:val="both"/>
        <w:rPr>
          <w:rFonts w:ascii="Times New Roman" w:hAnsi="Times New Roman" w:cs="Times New Roman"/>
          <w:b/>
          <w:sz w:val="24"/>
          <w:szCs w:val="24"/>
        </w:rPr>
      </w:pPr>
    </w:p>
    <w:p w14:paraId="2C54D625" w14:textId="2251D675" w:rsidR="00F20CCC" w:rsidRDefault="00CF1ED3" w:rsidP="0075678D">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Introducción</w:t>
      </w:r>
    </w:p>
    <w:p w14:paraId="41A14967" w14:textId="1E152C9F" w:rsidR="00F20CCC" w:rsidRDefault="00F20CCC" w:rsidP="0075678D">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ab/>
      </w:r>
      <w:r w:rsidR="00885B98">
        <w:rPr>
          <w:rFonts w:ascii="Times New Roman" w:hAnsi="Times New Roman" w:cs="Times New Roman"/>
          <w:sz w:val="24"/>
          <w:szCs w:val="24"/>
        </w:rPr>
        <w:t>En Chile, según la última Encuesta Nacional de Salud 1 de cada 6 chilenos ha presentado sintomatología depresiva en los últimos 12 meses. En el caso de las mujeres, esta proporción aumenta a 1 de cada 5</w:t>
      </w:r>
      <w:r w:rsidR="005D00A1">
        <w:rPr>
          <w:rFonts w:ascii="Times New Roman" w:hAnsi="Times New Roman" w:cs="Times New Roman"/>
          <w:sz w:val="24"/>
          <w:szCs w:val="24"/>
        </w:rPr>
        <w:t xml:space="preserve"> (MINSAL, 2017</w:t>
      </w:r>
      <w:r w:rsidR="00365BF5">
        <w:rPr>
          <w:rFonts w:ascii="Times New Roman" w:hAnsi="Times New Roman" w:cs="Times New Roman"/>
          <w:sz w:val="24"/>
          <w:szCs w:val="24"/>
        </w:rPr>
        <w:t>b</w:t>
      </w:r>
      <w:r w:rsidR="005D00A1">
        <w:rPr>
          <w:rFonts w:ascii="Times New Roman" w:hAnsi="Times New Roman" w:cs="Times New Roman"/>
          <w:sz w:val="24"/>
          <w:szCs w:val="24"/>
        </w:rPr>
        <w:t>)</w:t>
      </w:r>
      <w:r w:rsidR="00885B98">
        <w:rPr>
          <w:rFonts w:ascii="Times New Roman" w:hAnsi="Times New Roman" w:cs="Times New Roman"/>
          <w:sz w:val="24"/>
          <w:szCs w:val="24"/>
        </w:rPr>
        <w:t xml:space="preserve">. </w:t>
      </w:r>
      <w:r w:rsidR="009A4BF4">
        <w:rPr>
          <w:rFonts w:ascii="Times New Roman" w:hAnsi="Times New Roman" w:cs="Times New Roman"/>
          <w:sz w:val="24"/>
          <w:szCs w:val="24"/>
        </w:rPr>
        <w:t xml:space="preserve">Por otro lado, </w:t>
      </w:r>
      <w:r w:rsidR="007B1C97">
        <w:rPr>
          <w:rFonts w:ascii="Times New Roman" w:hAnsi="Times New Roman" w:cs="Times New Roman"/>
          <w:sz w:val="24"/>
          <w:szCs w:val="24"/>
        </w:rPr>
        <w:t>Chile presenta un</w:t>
      </w:r>
      <w:r w:rsidR="00F2345D">
        <w:rPr>
          <w:rFonts w:ascii="Times New Roman" w:hAnsi="Times New Roman" w:cs="Times New Roman"/>
          <w:sz w:val="24"/>
          <w:szCs w:val="24"/>
        </w:rPr>
        <w:t>a</w:t>
      </w:r>
      <w:r w:rsidR="007B1C97">
        <w:rPr>
          <w:rFonts w:ascii="Times New Roman" w:hAnsi="Times New Roman" w:cs="Times New Roman"/>
          <w:sz w:val="24"/>
          <w:szCs w:val="24"/>
        </w:rPr>
        <w:t xml:space="preserve"> tasa de suicidio de 10,04 personas por cada 100.000 habitantes</w:t>
      </w:r>
      <w:r w:rsidR="00F2345D">
        <w:rPr>
          <w:rFonts w:ascii="Times New Roman" w:hAnsi="Times New Roman" w:cs="Times New Roman"/>
          <w:sz w:val="24"/>
          <w:szCs w:val="24"/>
        </w:rPr>
        <w:t xml:space="preserve"> al año</w:t>
      </w:r>
      <w:r w:rsidR="00AB1758">
        <w:rPr>
          <w:rFonts w:ascii="Times New Roman" w:hAnsi="Times New Roman" w:cs="Times New Roman"/>
          <w:sz w:val="24"/>
          <w:szCs w:val="24"/>
        </w:rPr>
        <w:t xml:space="preserve">, </w:t>
      </w:r>
      <w:r w:rsidR="00F2345D">
        <w:rPr>
          <w:rFonts w:ascii="Times New Roman" w:hAnsi="Times New Roman" w:cs="Times New Roman"/>
          <w:sz w:val="24"/>
          <w:szCs w:val="24"/>
        </w:rPr>
        <w:t xml:space="preserve">es decir, que el suicidio cobra más vidas al año que los accidentes de tránsito, el VIH o el cáncer de colon (MINSAL, 2014). </w:t>
      </w:r>
    </w:p>
    <w:p w14:paraId="1DBD5C2A" w14:textId="2FD5C7D5" w:rsidR="00CF2FF4" w:rsidRDefault="00CF2FF4" w:rsidP="0075678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El sistema de salud en Chile es mixto, siendo conformado por instituciones públicas </w:t>
      </w:r>
      <w:r w:rsidR="006F6459">
        <w:rPr>
          <w:rFonts w:ascii="Times New Roman" w:hAnsi="Times New Roman" w:cs="Times New Roman"/>
          <w:sz w:val="24"/>
          <w:szCs w:val="24"/>
        </w:rPr>
        <w:t>y</w:t>
      </w:r>
      <w:r>
        <w:rPr>
          <w:rFonts w:ascii="Times New Roman" w:hAnsi="Times New Roman" w:cs="Times New Roman"/>
          <w:sz w:val="24"/>
          <w:szCs w:val="24"/>
        </w:rPr>
        <w:t xml:space="preserve"> privadas</w:t>
      </w:r>
      <w:r w:rsidR="006F6459">
        <w:rPr>
          <w:rFonts w:ascii="Times New Roman" w:hAnsi="Times New Roman" w:cs="Times New Roman"/>
          <w:sz w:val="24"/>
          <w:szCs w:val="24"/>
        </w:rPr>
        <w:t>, tanto para el aseguramiento como para la provisión de servicios (</w:t>
      </w:r>
      <w:r w:rsidR="000A4808">
        <w:rPr>
          <w:rFonts w:ascii="Times New Roman" w:hAnsi="Times New Roman" w:cs="Times New Roman"/>
          <w:sz w:val="24"/>
          <w:szCs w:val="24"/>
        </w:rPr>
        <w:t>MINSAL, 2011</w:t>
      </w:r>
      <w:r w:rsidR="006F6459">
        <w:rPr>
          <w:rFonts w:ascii="Times New Roman" w:hAnsi="Times New Roman" w:cs="Times New Roman"/>
          <w:sz w:val="24"/>
          <w:szCs w:val="24"/>
        </w:rPr>
        <w:t xml:space="preserve">). Aproximadamente un </w:t>
      </w:r>
      <w:r w:rsidR="00537498">
        <w:rPr>
          <w:rFonts w:ascii="Times New Roman" w:hAnsi="Times New Roman" w:cs="Times New Roman"/>
          <w:sz w:val="24"/>
          <w:szCs w:val="24"/>
        </w:rPr>
        <w:t>73</w:t>
      </w:r>
      <w:r w:rsidR="006F6459">
        <w:rPr>
          <w:rFonts w:ascii="Times New Roman" w:hAnsi="Times New Roman" w:cs="Times New Roman"/>
          <w:sz w:val="24"/>
          <w:szCs w:val="24"/>
        </w:rPr>
        <w:t xml:space="preserve">% de los </w:t>
      </w:r>
      <w:r w:rsidR="00993F9C">
        <w:rPr>
          <w:rFonts w:ascii="Times New Roman" w:hAnsi="Times New Roman" w:cs="Times New Roman"/>
          <w:sz w:val="24"/>
          <w:szCs w:val="24"/>
        </w:rPr>
        <w:t xml:space="preserve">chilenos está afiliado al sistema público de seguro social </w:t>
      </w:r>
      <w:r w:rsidR="00537498">
        <w:rPr>
          <w:rFonts w:ascii="Times New Roman" w:hAnsi="Times New Roman" w:cs="Times New Roman"/>
          <w:sz w:val="24"/>
          <w:szCs w:val="24"/>
        </w:rPr>
        <w:t>(FONASA)</w:t>
      </w:r>
      <w:r w:rsidR="00F26884">
        <w:rPr>
          <w:rFonts w:ascii="Times New Roman" w:hAnsi="Times New Roman" w:cs="Times New Roman"/>
          <w:sz w:val="24"/>
          <w:szCs w:val="24"/>
        </w:rPr>
        <w:t xml:space="preserve"> </w:t>
      </w:r>
      <w:r w:rsidR="00993F9C">
        <w:rPr>
          <w:rFonts w:ascii="Times New Roman" w:hAnsi="Times New Roman" w:cs="Times New Roman"/>
          <w:sz w:val="24"/>
          <w:szCs w:val="24"/>
        </w:rPr>
        <w:t>(</w:t>
      </w:r>
      <w:r w:rsidR="000A4808">
        <w:rPr>
          <w:rFonts w:ascii="Times New Roman" w:hAnsi="Times New Roman" w:cs="Times New Roman"/>
          <w:sz w:val="24"/>
          <w:szCs w:val="24"/>
        </w:rPr>
        <w:t>MINSAL, 2011</w:t>
      </w:r>
      <w:r w:rsidR="00993F9C">
        <w:rPr>
          <w:rFonts w:ascii="Times New Roman" w:hAnsi="Times New Roman" w:cs="Times New Roman"/>
          <w:sz w:val="24"/>
          <w:szCs w:val="24"/>
        </w:rPr>
        <w:t xml:space="preserve">). Sin embargo, las cifras sobre la atención en instituciones públicas vs privadas </w:t>
      </w:r>
      <w:r w:rsidR="00537498">
        <w:rPr>
          <w:rFonts w:ascii="Times New Roman" w:hAnsi="Times New Roman" w:cs="Times New Roman"/>
          <w:sz w:val="24"/>
          <w:szCs w:val="24"/>
        </w:rPr>
        <w:t>son</w:t>
      </w:r>
      <w:r w:rsidR="00993F9C">
        <w:rPr>
          <w:rFonts w:ascii="Times New Roman" w:hAnsi="Times New Roman" w:cs="Times New Roman"/>
          <w:sz w:val="24"/>
          <w:szCs w:val="24"/>
        </w:rPr>
        <w:t xml:space="preserve"> menos clara</w:t>
      </w:r>
      <w:r w:rsidR="00537498">
        <w:rPr>
          <w:rFonts w:ascii="Times New Roman" w:hAnsi="Times New Roman" w:cs="Times New Roman"/>
          <w:sz w:val="24"/>
          <w:szCs w:val="24"/>
        </w:rPr>
        <w:t>s</w:t>
      </w:r>
      <w:r w:rsidR="00993F9C">
        <w:rPr>
          <w:rFonts w:ascii="Times New Roman" w:hAnsi="Times New Roman" w:cs="Times New Roman"/>
          <w:sz w:val="24"/>
          <w:szCs w:val="24"/>
        </w:rPr>
        <w:t>, dado que</w:t>
      </w:r>
      <w:r w:rsidR="00537498">
        <w:rPr>
          <w:rFonts w:ascii="Times New Roman" w:hAnsi="Times New Roman" w:cs="Times New Roman"/>
          <w:sz w:val="24"/>
          <w:szCs w:val="24"/>
        </w:rPr>
        <w:t xml:space="preserve"> ciertos grupos de usuarios de</w:t>
      </w:r>
      <w:r w:rsidR="00993F9C">
        <w:rPr>
          <w:rFonts w:ascii="Times New Roman" w:hAnsi="Times New Roman" w:cs="Times New Roman"/>
          <w:sz w:val="24"/>
          <w:szCs w:val="24"/>
        </w:rPr>
        <w:t xml:space="preserve"> </w:t>
      </w:r>
      <w:r w:rsidR="00537498">
        <w:rPr>
          <w:rFonts w:ascii="Times New Roman" w:hAnsi="Times New Roman" w:cs="Times New Roman"/>
          <w:sz w:val="24"/>
          <w:szCs w:val="24"/>
        </w:rPr>
        <w:t>FONASA pueden optar tanto por la Modalidad de Libre Elección (MLE), donde pueden atenderse en instituciones privadas con un copago asociado, como por la Modalidad Institucional (MAI), donde debe atenderse hospitales y consultorios públicos ().</w:t>
      </w:r>
    </w:p>
    <w:p w14:paraId="6AA1BFFB" w14:textId="3C73244B" w:rsidR="00537498" w:rsidRDefault="00537498" w:rsidP="0075678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7C0D8E">
        <w:rPr>
          <w:rFonts w:ascii="Times New Roman" w:hAnsi="Times New Roman" w:cs="Times New Roman"/>
          <w:sz w:val="24"/>
          <w:szCs w:val="24"/>
        </w:rPr>
        <w:t xml:space="preserve">Independiente del sistema de salud al que la persona </w:t>
      </w:r>
      <w:r w:rsidR="00C51235">
        <w:rPr>
          <w:rFonts w:ascii="Times New Roman" w:hAnsi="Times New Roman" w:cs="Times New Roman"/>
          <w:sz w:val="24"/>
          <w:szCs w:val="24"/>
        </w:rPr>
        <w:t xml:space="preserve">esté </w:t>
      </w:r>
      <w:r w:rsidR="00C9439F">
        <w:rPr>
          <w:rFonts w:ascii="Times New Roman" w:hAnsi="Times New Roman" w:cs="Times New Roman"/>
          <w:sz w:val="24"/>
          <w:szCs w:val="24"/>
        </w:rPr>
        <w:t>adscrita, existen en Chile patologías que cuentan con Garantías Explícitas en Salud</w:t>
      </w:r>
      <w:r w:rsidR="00F50949">
        <w:rPr>
          <w:rFonts w:ascii="Times New Roman" w:hAnsi="Times New Roman" w:cs="Times New Roman"/>
          <w:sz w:val="24"/>
          <w:szCs w:val="24"/>
        </w:rPr>
        <w:t xml:space="preserve"> (GES)</w:t>
      </w:r>
      <w:r w:rsidR="00C9439F">
        <w:rPr>
          <w:rFonts w:ascii="Times New Roman" w:hAnsi="Times New Roman" w:cs="Times New Roman"/>
          <w:sz w:val="24"/>
          <w:szCs w:val="24"/>
        </w:rPr>
        <w:t>. De las 8</w:t>
      </w:r>
      <w:r w:rsidR="00F50949">
        <w:rPr>
          <w:rFonts w:ascii="Times New Roman" w:hAnsi="Times New Roman" w:cs="Times New Roman"/>
          <w:sz w:val="24"/>
          <w:szCs w:val="24"/>
        </w:rPr>
        <w:t>0</w:t>
      </w:r>
      <w:r w:rsidR="00C9439F">
        <w:rPr>
          <w:rFonts w:ascii="Times New Roman" w:hAnsi="Times New Roman" w:cs="Times New Roman"/>
          <w:sz w:val="24"/>
          <w:szCs w:val="24"/>
        </w:rPr>
        <w:t xml:space="preserve"> patologías que presentan</w:t>
      </w:r>
      <w:r w:rsidR="00F50949">
        <w:rPr>
          <w:rFonts w:ascii="Times New Roman" w:hAnsi="Times New Roman" w:cs="Times New Roman"/>
          <w:sz w:val="24"/>
          <w:szCs w:val="24"/>
        </w:rPr>
        <w:t xml:space="preserve"> GES, solo </w:t>
      </w:r>
      <w:r w:rsidR="00365BF5">
        <w:rPr>
          <w:rFonts w:ascii="Times New Roman" w:hAnsi="Times New Roman" w:cs="Times New Roman"/>
          <w:sz w:val="24"/>
          <w:szCs w:val="24"/>
        </w:rPr>
        <w:t>cuatro</w:t>
      </w:r>
      <w:r w:rsidR="00F50949">
        <w:rPr>
          <w:rFonts w:ascii="Times New Roman" w:hAnsi="Times New Roman" w:cs="Times New Roman"/>
          <w:sz w:val="24"/>
          <w:szCs w:val="24"/>
        </w:rPr>
        <w:t xml:space="preserve"> corresponden a trastornos de salud mental, siendo una de las garantizadas la Depresión y el Trastorno Bipolar. Cabe resaltar que, según la guía clínica para la Depresión, solo se considera la psicoterapia en pacientes con riesgo suicida o con depresión grave. Pacientes con depresión moderada o leve solo recibirían intervención psicosocial grupal. Bajo este </w:t>
      </w:r>
      <w:r w:rsidR="00623BA0">
        <w:rPr>
          <w:rFonts w:ascii="Times New Roman" w:hAnsi="Times New Roman" w:cs="Times New Roman"/>
          <w:sz w:val="24"/>
          <w:szCs w:val="24"/>
        </w:rPr>
        <w:t xml:space="preserve">modelo, serán derivados a </w:t>
      </w:r>
      <w:proofErr w:type="spellStart"/>
      <w:r w:rsidR="00623BA0">
        <w:rPr>
          <w:rFonts w:ascii="Times New Roman" w:hAnsi="Times New Roman" w:cs="Times New Roman"/>
          <w:sz w:val="24"/>
          <w:szCs w:val="24"/>
        </w:rPr>
        <w:t>COSAMs</w:t>
      </w:r>
      <w:proofErr w:type="spellEnd"/>
      <w:r w:rsidR="00623BA0">
        <w:rPr>
          <w:rFonts w:ascii="Times New Roman" w:hAnsi="Times New Roman" w:cs="Times New Roman"/>
          <w:sz w:val="24"/>
          <w:szCs w:val="24"/>
        </w:rPr>
        <w:t xml:space="preserve"> solo los pacientes graves y lo pacientes con un nivel moderado o leve de depresión sería atendido en recintos de Atención Primaria de Salud (APS) (MINSAL, 2017</w:t>
      </w:r>
      <w:r w:rsidR="00AC4BA4">
        <w:rPr>
          <w:rFonts w:ascii="Times New Roman" w:hAnsi="Times New Roman" w:cs="Times New Roman"/>
          <w:sz w:val="24"/>
          <w:szCs w:val="24"/>
        </w:rPr>
        <w:t>b</w:t>
      </w:r>
      <w:r w:rsidR="00623BA0">
        <w:rPr>
          <w:rFonts w:ascii="Times New Roman" w:hAnsi="Times New Roman" w:cs="Times New Roman"/>
          <w:sz w:val="24"/>
          <w:szCs w:val="24"/>
        </w:rPr>
        <w:t>).</w:t>
      </w:r>
    </w:p>
    <w:p w14:paraId="28442C70" w14:textId="65E4DEDD" w:rsidR="0014591B" w:rsidRDefault="0014591B" w:rsidP="0075678D">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t xml:space="preserve">Poco se sabe sobre las diferencias que se encuentran en el sistema público y privado de salud, específicamente en el área de salud mental. Dado que las instituciones públicas presentan protocolos establecidos de atención, donde el diagnóstico y tratamiento está </w:t>
      </w:r>
      <w:proofErr w:type="spellStart"/>
      <w:r>
        <w:rPr>
          <w:rFonts w:ascii="Times New Roman" w:hAnsi="Times New Roman" w:cs="Times New Roman"/>
          <w:sz w:val="24"/>
          <w:szCs w:val="24"/>
        </w:rPr>
        <w:t>manualizado</w:t>
      </w:r>
      <w:proofErr w:type="spellEnd"/>
      <w:r>
        <w:rPr>
          <w:rFonts w:ascii="Times New Roman" w:hAnsi="Times New Roman" w:cs="Times New Roman"/>
          <w:sz w:val="24"/>
          <w:szCs w:val="24"/>
        </w:rPr>
        <w:t xml:space="preserve"> y establecido a priori, parece interesante estudiar el efecto de estos protocolos sobre la sintomatología de los pacientes y compararlo con lo que se presenta en otro tipo de instituciones, particularmente privadas, donde la indicación terapéutica se establece de manera más libre por el terapeuta o regida por otro tipo de estrategias. </w:t>
      </w:r>
    </w:p>
    <w:p w14:paraId="25BCC0FA" w14:textId="332DF6B1" w:rsidR="00B11AA1" w:rsidRDefault="00623BA0" w:rsidP="0014591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14591B">
        <w:rPr>
          <w:rFonts w:ascii="Times New Roman" w:hAnsi="Times New Roman" w:cs="Times New Roman"/>
          <w:sz w:val="24"/>
          <w:szCs w:val="24"/>
        </w:rPr>
        <w:t>De este modo, parece importante entender si es que los tratamientos que están siendo otorgados resultan efectivos y si existen desigualdades en la forma que estos tratamientos son entregados en las distintas instituciones. Así, e</w:t>
      </w:r>
      <w:r w:rsidR="00192BD0">
        <w:rPr>
          <w:rFonts w:ascii="Times New Roman" w:hAnsi="Times New Roman" w:cs="Times New Roman"/>
          <w:sz w:val="24"/>
          <w:szCs w:val="24"/>
        </w:rPr>
        <w:t>ste trabajo tiene como objetivo</w:t>
      </w:r>
      <w:r w:rsidR="00793739">
        <w:rPr>
          <w:rFonts w:ascii="Times New Roman" w:hAnsi="Times New Roman" w:cs="Times New Roman"/>
          <w:sz w:val="24"/>
          <w:szCs w:val="24"/>
        </w:rPr>
        <w:t xml:space="preserve"> realizar una comparación de los pacientes </w:t>
      </w:r>
      <w:r w:rsidR="0045018D">
        <w:rPr>
          <w:rFonts w:ascii="Times New Roman" w:hAnsi="Times New Roman" w:cs="Times New Roman"/>
          <w:sz w:val="24"/>
          <w:szCs w:val="24"/>
        </w:rPr>
        <w:t xml:space="preserve">depresivos </w:t>
      </w:r>
      <w:r w:rsidR="00793739">
        <w:rPr>
          <w:rFonts w:ascii="Times New Roman" w:hAnsi="Times New Roman" w:cs="Times New Roman"/>
          <w:sz w:val="24"/>
          <w:szCs w:val="24"/>
        </w:rPr>
        <w:t xml:space="preserve">que se atienden en </w:t>
      </w:r>
      <w:r w:rsidR="0045018D">
        <w:rPr>
          <w:rFonts w:ascii="Times New Roman" w:hAnsi="Times New Roman" w:cs="Times New Roman"/>
          <w:sz w:val="24"/>
          <w:szCs w:val="24"/>
        </w:rPr>
        <w:t>instituciones privadas versus públicas, en cuanto a su caracterización sociodemográfica, sus características clínicas iniciales e indicadores de resultado de la terapia.</w:t>
      </w:r>
    </w:p>
    <w:p w14:paraId="2B3523A0" w14:textId="30A47DEE" w:rsidR="00B11AA1" w:rsidRDefault="00B11AA1" w:rsidP="0075678D">
      <w:pPr>
        <w:spacing w:after="0" w:line="360" w:lineRule="auto"/>
        <w:jc w:val="both"/>
        <w:rPr>
          <w:rFonts w:ascii="Times New Roman" w:hAnsi="Times New Roman" w:cs="Times New Roman"/>
          <w:sz w:val="24"/>
          <w:szCs w:val="24"/>
        </w:rPr>
      </w:pPr>
    </w:p>
    <w:p w14:paraId="317FCDE8" w14:textId="0DA851EF" w:rsidR="00B11AA1" w:rsidRPr="00E85576" w:rsidRDefault="00E85576" w:rsidP="0075678D">
      <w:pPr>
        <w:spacing w:after="0" w:line="360" w:lineRule="auto"/>
        <w:jc w:val="both"/>
        <w:rPr>
          <w:rFonts w:ascii="Times New Roman" w:hAnsi="Times New Roman" w:cs="Times New Roman"/>
          <w:b/>
          <w:sz w:val="24"/>
          <w:szCs w:val="24"/>
        </w:rPr>
      </w:pPr>
      <w:r w:rsidRPr="00E85576">
        <w:rPr>
          <w:rFonts w:ascii="Times New Roman" w:hAnsi="Times New Roman" w:cs="Times New Roman"/>
          <w:b/>
          <w:sz w:val="24"/>
          <w:szCs w:val="24"/>
        </w:rPr>
        <w:t>Materiales y Métodos</w:t>
      </w:r>
    </w:p>
    <w:p w14:paraId="35AB6725" w14:textId="0960A3FD" w:rsidR="00B11AA1" w:rsidRDefault="00B11AA1" w:rsidP="0075678D">
      <w:pPr>
        <w:spacing w:after="0" w:line="360" w:lineRule="auto"/>
        <w:jc w:val="both"/>
        <w:rPr>
          <w:rFonts w:ascii="Times New Roman" w:hAnsi="Times New Roman" w:cs="Times New Roman"/>
          <w:sz w:val="24"/>
          <w:szCs w:val="24"/>
        </w:rPr>
      </w:pPr>
    </w:p>
    <w:p w14:paraId="5B7FE9AA" w14:textId="0F30D813" w:rsidR="00BE67DE" w:rsidRPr="00BE67DE" w:rsidRDefault="00BE67DE" w:rsidP="0075678D">
      <w:pPr>
        <w:spacing w:after="0" w:line="360" w:lineRule="auto"/>
        <w:jc w:val="both"/>
        <w:rPr>
          <w:rFonts w:ascii="Times New Roman" w:hAnsi="Times New Roman" w:cs="Times New Roman"/>
          <w:b/>
          <w:i/>
          <w:sz w:val="24"/>
          <w:szCs w:val="24"/>
        </w:rPr>
      </w:pPr>
      <w:r w:rsidRPr="00BE67DE">
        <w:rPr>
          <w:rFonts w:ascii="Times New Roman" w:hAnsi="Times New Roman" w:cs="Times New Roman"/>
          <w:b/>
          <w:i/>
          <w:sz w:val="24"/>
          <w:szCs w:val="24"/>
        </w:rPr>
        <w:t>Participantes</w:t>
      </w:r>
      <w:r w:rsidR="00D27194">
        <w:rPr>
          <w:rFonts w:ascii="Times New Roman" w:hAnsi="Times New Roman" w:cs="Times New Roman"/>
          <w:b/>
          <w:i/>
          <w:sz w:val="24"/>
          <w:szCs w:val="24"/>
        </w:rPr>
        <w:t xml:space="preserve"> y método</w:t>
      </w:r>
    </w:p>
    <w:p w14:paraId="6BE75CB6" w14:textId="77777777" w:rsidR="00D27194" w:rsidRDefault="005D00A1" w:rsidP="0075678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D27194">
        <w:rPr>
          <w:rFonts w:ascii="Times New Roman" w:hAnsi="Times New Roman" w:cs="Times New Roman"/>
          <w:sz w:val="24"/>
          <w:szCs w:val="24"/>
        </w:rPr>
        <w:t>Este estudio tuvo un diseño longitudinal, no experimental, descriptivo y correlacional. Se utilizaron dos muestras intencionadas: una obtenida en cinco Centros de Salud Mental Comunitaria (</w:t>
      </w:r>
      <w:proofErr w:type="spellStart"/>
      <w:r w:rsidR="00D27194">
        <w:rPr>
          <w:rFonts w:ascii="Times New Roman" w:hAnsi="Times New Roman" w:cs="Times New Roman"/>
          <w:sz w:val="24"/>
          <w:szCs w:val="24"/>
        </w:rPr>
        <w:t>COSAMs</w:t>
      </w:r>
      <w:proofErr w:type="spellEnd"/>
      <w:r w:rsidR="00D27194">
        <w:rPr>
          <w:rFonts w:ascii="Times New Roman" w:hAnsi="Times New Roman" w:cs="Times New Roman"/>
          <w:sz w:val="24"/>
          <w:szCs w:val="24"/>
        </w:rPr>
        <w:t xml:space="preserve">) de las comunas de Macul, Ñuñoa, La Pintana, Independencia y Conchalí, la cual representa a pacientes atendidos en centros públicos de salud, y la segunda corresponde a muestra obtenida en dos centros de salud mental universitarios, como el Centro de Atención Psicológica de la Universidad Gabriela Mistral y la Unidad de Psicoterapia Adulto del Centro de Salud Mental de la Universidad Católica. </w:t>
      </w:r>
    </w:p>
    <w:p w14:paraId="311E85F4" w14:textId="4C4D0797" w:rsidR="00B11AA1" w:rsidRDefault="00D27194" w:rsidP="00D2719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En ambos casos los criterios de inclusión fueron: </w:t>
      </w:r>
      <w:r w:rsidRPr="00D27194">
        <w:rPr>
          <w:rFonts w:ascii="Times New Roman" w:hAnsi="Times New Roman" w:cs="Times New Roman"/>
          <w:sz w:val="24"/>
          <w:szCs w:val="24"/>
        </w:rPr>
        <w:t>18 años o más, con algún diagnóstico d</w:t>
      </w:r>
      <w:r>
        <w:rPr>
          <w:rFonts w:ascii="Times New Roman" w:hAnsi="Times New Roman" w:cs="Times New Roman"/>
          <w:sz w:val="24"/>
          <w:szCs w:val="24"/>
        </w:rPr>
        <w:t xml:space="preserve">e </w:t>
      </w:r>
      <w:r w:rsidRPr="00D27194">
        <w:rPr>
          <w:rFonts w:ascii="Times New Roman" w:hAnsi="Times New Roman" w:cs="Times New Roman"/>
          <w:sz w:val="24"/>
          <w:szCs w:val="24"/>
        </w:rPr>
        <w:t>depresión, que aceptaran voluntariamente participar en el estudio. Los criterios de</w:t>
      </w:r>
      <w:r>
        <w:rPr>
          <w:rFonts w:ascii="Times New Roman" w:hAnsi="Times New Roman" w:cs="Times New Roman"/>
          <w:sz w:val="24"/>
          <w:szCs w:val="24"/>
        </w:rPr>
        <w:t xml:space="preserve"> </w:t>
      </w:r>
      <w:r w:rsidRPr="00D27194">
        <w:rPr>
          <w:rFonts w:ascii="Times New Roman" w:hAnsi="Times New Roman" w:cs="Times New Roman"/>
          <w:sz w:val="24"/>
          <w:szCs w:val="24"/>
        </w:rPr>
        <w:t>exclusión fueron: retraso mental, daño orgánico, trastorno psicótico y dependencia de</w:t>
      </w:r>
      <w:r>
        <w:rPr>
          <w:rFonts w:ascii="Times New Roman" w:hAnsi="Times New Roman" w:cs="Times New Roman"/>
          <w:sz w:val="24"/>
          <w:szCs w:val="24"/>
        </w:rPr>
        <w:t xml:space="preserve"> </w:t>
      </w:r>
      <w:r w:rsidRPr="00D27194">
        <w:rPr>
          <w:rFonts w:ascii="Times New Roman" w:hAnsi="Times New Roman" w:cs="Times New Roman"/>
          <w:sz w:val="24"/>
          <w:szCs w:val="24"/>
        </w:rPr>
        <w:t>sustancias.</w:t>
      </w:r>
      <w:r w:rsidR="001F4B7A">
        <w:rPr>
          <w:rFonts w:ascii="Times New Roman" w:hAnsi="Times New Roman" w:cs="Times New Roman"/>
          <w:sz w:val="24"/>
          <w:szCs w:val="24"/>
        </w:rPr>
        <w:t xml:space="preserve"> </w:t>
      </w:r>
    </w:p>
    <w:p w14:paraId="42290F96" w14:textId="123DFBE1" w:rsidR="00D27194" w:rsidRDefault="00D27194" w:rsidP="00D2719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F821A3">
        <w:rPr>
          <w:rFonts w:ascii="Times New Roman" w:hAnsi="Times New Roman" w:cs="Times New Roman"/>
          <w:sz w:val="24"/>
          <w:szCs w:val="24"/>
        </w:rPr>
        <w:t>Para la</w:t>
      </w:r>
      <w:r w:rsidR="00D63355">
        <w:rPr>
          <w:rFonts w:ascii="Times New Roman" w:hAnsi="Times New Roman" w:cs="Times New Roman"/>
          <w:sz w:val="24"/>
          <w:szCs w:val="24"/>
        </w:rPr>
        <w:t xml:space="preserve"> muestra </w:t>
      </w:r>
      <w:r w:rsidR="001428A1">
        <w:rPr>
          <w:rFonts w:ascii="Times New Roman" w:hAnsi="Times New Roman" w:cs="Times New Roman"/>
          <w:sz w:val="24"/>
          <w:szCs w:val="24"/>
        </w:rPr>
        <w:t>de las instituciones públicas</w:t>
      </w:r>
      <w:r w:rsidR="00F821A3">
        <w:rPr>
          <w:rFonts w:ascii="Times New Roman" w:hAnsi="Times New Roman" w:cs="Times New Roman"/>
          <w:sz w:val="24"/>
          <w:szCs w:val="24"/>
        </w:rPr>
        <w:t xml:space="preserve"> consistió en 88 pacientes adultos consultantes en los </w:t>
      </w:r>
      <w:proofErr w:type="spellStart"/>
      <w:r w:rsidR="00F821A3">
        <w:rPr>
          <w:rFonts w:ascii="Times New Roman" w:hAnsi="Times New Roman" w:cs="Times New Roman"/>
          <w:sz w:val="24"/>
          <w:szCs w:val="24"/>
        </w:rPr>
        <w:t>COSAMs</w:t>
      </w:r>
      <w:proofErr w:type="spellEnd"/>
      <w:r w:rsidR="00F821A3">
        <w:rPr>
          <w:rFonts w:ascii="Times New Roman" w:hAnsi="Times New Roman" w:cs="Times New Roman"/>
          <w:sz w:val="24"/>
          <w:szCs w:val="24"/>
        </w:rPr>
        <w:t xml:space="preserve"> mencionados. Se les contactó tras su primera entrevista y, quienes accedieron a participar</w:t>
      </w:r>
      <w:r w:rsidR="007F5A7C">
        <w:rPr>
          <w:rFonts w:ascii="Times New Roman" w:hAnsi="Times New Roman" w:cs="Times New Roman"/>
          <w:sz w:val="24"/>
          <w:szCs w:val="24"/>
        </w:rPr>
        <w:t xml:space="preserve"> y cumplían con los criterios de inclusión</w:t>
      </w:r>
      <w:r w:rsidR="00F821A3">
        <w:rPr>
          <w:rFonts w:ascii="Times New Roman" w:hAnsi="Times New Roman" w:cs="Times New Roman"/>
          <w:sz w:val="24"/>
          <w:szCs w:val="24"/>
        </w:rPr>
        <w:t xml:space="preserve">, se les </w:t>
      </w:r>
      <w:r w:rsidR="007F5A7C">
        <w:rPr>
          <w:rFonts w:ascii="Times New Roman" w:hAnsi="Times New Roman" w:cs="Times New Roman"/>
          <w:sz w:val="24"/>
          <w:szCs w:val="24"/>
        </w:rPr>
        <w:t xml:space="preserve">hizo firmar </w:t>
      </w:r>
      <w:r w:rsidR="007F5A7C">
        <w:rPr>
          <w:rFonts w:ascii="Times New Roman" w:hAnsi="Times New Roman" w:cs="Times New Roman"/>
          <w:sz w:val="24"/>
          <w:szCs w:val="24"/>
        </w:rPr>
        <w:lastRenderedPageBreak/>
        <w:t xml:space="preserve">un consentimiento informado y se le </w:t>
      </w:r>
      <w:r w:rsidR="00F821A3">
        <w:rPr>
          <w:rFonts w:ascii="Times New Roman" w:hAnsi="Times New Roman" w:cs="Times New Roman"/>
          <w:sz w:val="24"/>
          <w:szCs w:val="24"/>
        </w:rPr>
        <w:t xml:space="preserve">aplicaron en persona los instrumentos que posteriormente serán explicados. También se contactó a los participantes a los 3 y 6 meses de iniciada la terapia. Para ver los efectos de la terapia, se utilizaron las mediciones de las personas que habían sido dada de alta, con fin de evaluar la terapia finalizada. Se consideraron los valores de la medición más cercana a la fecha de alta como valores post terapia. </w:t>
      </w:r>
    </w:p>
    <w:p w14:paraId="291AB94B" w14:textId="436EEF03" w:rsidR="00F821A3" w:rsidRDefault="00F821A3" w:rsidP="00D2719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La muestra de instituciones privadas consistió en </w:t>
      </w:r>
      <w:r w:rsidR="007F5A7C">
        <w:rPr>
          <w:rFonts w:ascii="Times New Roman" w:hAnsi="Times New Roman" w:cs="Times New Roman"/>
          <w:sz w:val="24"/>
          <w:szCs w:val="24"/>
        </w:rPr>
        <w:t xml:space="preserve">131 pacientes que consultaron en los centros universitarios. Se contactó a los pacientes tras un primer acercamiento al centro de atención. A los pacientes que aceptaron participar y que cumplían con los criterios de inclusión, se les entregó un consentimiento informado para su posterior firma y se le aplicaron los instrumentos que se nombrarán a continuación. A los pacientes que se les dio el alta en el período de seguimiento, se le administraron los mismos instrumentos inmediatamente después del alta. </w:t>
      </w:r>
    </w:p>
    <w:p w14:paraId="11D41E95" w14:textId="4B9CCCEF" w:rsidR="007F5A7C" w:rsidRDefault="007F5A7C" w:rsidP="00D2719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Ambas tomas de muestras cuentan con la aprobación del Comité de Ética de la Pontificia Universidad Católica de Chile. La muestra de </w:t>
      </w:r>
      <w:r w:rsidR="00581A3A">
        <w:rPr>
          <w:rFonts w:ascii="Times New Roman" w:hAnsi="Times New Roman" w:cs="Times New Roman"/>
          <w:sz w:val="24"/>
          <w:szCs w:val="24"/>
        </w:rPr>
        <w:t xml:space="preserve">instituciones públicas cuanta también con la aprobación del Comité de Ética del Servicio de Salud Metropolitano Sur Oriente. </w:t>
      </w:r>
    </w:p>
    <w:p w14:paraId="596EDB58" w14:textId="77777777" w:rsidR="00581A3A" w:rsidRDefault="00581A3A" w:rsidP="00D27194">
      <w:pPr>
        <w:spacing w:after="0" w:line="360" w:lineRule="auto"/>
        <w:jc w:val="both"/>
        <w:rPr>
          <w:rFonts w:ascii="Times New Roman" w:hAnsi="Times New Roman" w:cs="Times New Roman"/>
          <w:sz w:val="24"/>
          <w:szCs w:val="24"/>
        </w:rPr>
      </w:pPr>
    </w:p>
    <w:p w14:paraId="6556AE8A" w14:textId="4DB61ABF" w:rsidR="00BE67DE" w:rsidRDefault="00BE67DE" w:rsidP="0075678D">
      <w:pPr>
        <w:spacing w:after="0" w:line="360" w:lineRule="auto"/>
        <w:jc w:val="both"/>
        <w:rPr>
          <w:rFonts w:ascii="Times New Roman" w:hAnsi="Times New Roman" w:cs="Times New Roman"/>
          <w:b/>
          <w:i/>
          <w:sz w:val="24"/>
          <w:szCs w:val="24"/>
        </w:rPr>
      </w:pPr>
      <w:r>
        <w:rPr>
          <w:rFonts w:ascii="Times New Roman" w:hAnsi="Times New Roman" w:cs="Times New Roman"/>
          <w:b/>
          <w:i/>
          <w:sz w:val="24"/>
          <w:szCs w:val="24"/>
        </w:rPr>
        <w:t>Instrumentos</w:t>
      </w:r>
    </w:p>
    <w:p w14:paraId="5E2CFBA2" w14:textId="788DF6D8" w:rsidR="00BE67DE" w:rsidRDefault="005A429A" w:rsidP="0075678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Con el fin de medir diferencias tanto en características sociodemográficas, como de variables relacionadas con la terapia, a saber, sintomatología depresiva, malestar general y estructura de la personalidad, se les administró a los participantes los siguientes instrumentos:</w:t>
      </w:r>
    </w:p>
    <w:p w14:paraId="312B132E" w14:textId="75056DD1" w:rsidR="005A429A" w:rsidRDefault="005A429A" w:rsidP="005A429A">
      <w:pPr>
        <w:pStyle w:val="Prrafodelista"/>
        <w:numPr>
          <w:ilvl w:val="0"/>
          <w:numId w:val="3"/>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Ficha Sociodemográfica: se utilizó una ficha sociodemográfica utilizada por el Instituto Milenio para el Estudio de la Depresión y Personalidad MIDAP que incluye preguntas sobre: género, nivel educacional, situación laboral, comorbilidades físicas y antecedentes previos de tratamiento </w:t>
      </w:r>
      <w:r w:rsidR="004968F8">
        <w:rPr>
          <w:rFonts w:ascii="Times New Roman" w:hAnsi="Times New Roman" w:cs="Times New Roman"/>
          <w:sz w:val="24"/>
          <w:szCs w:val="24"/>
        </w:rPr>
        <w:t xml:space="preserve">psicológico o psiquiátrico. </w:t>
      </w:r>
    </w:p>
    <w:p w14:paraId="6C52EAFA" w14:textId="2FC372DF" w:rsidR="004968F8" w:rsidRDefault="004968F8" w:rsidP="005A429A">
      <w:pPr>
        <w:pStyle w:val="Prrafodelista"/>
        <w:numPr>
          <w:ilvl w:val="0"/>
          <w:numId w:val="3"/>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BDI-IA </w:t>
      </w:r>
      <w:r w:rsidR="0075597B">
        <w:rPr>
          <w:rFonts w:ascii="Times New Roman" w:hAnsi="Times New Roman" w:cs="Times New Roman"/>
          <w:sz w:val="24"/>
          <w:szCs w:val="24"/>
        </w:rPr>
        <w:t xml:space="preserve">(Beck et al, 1961): </w:t>
      </w:r>
      <w:r>
        <w:rPr>
          <w:rFonts w:ascii="Times New Roman" w:hAnsi="Times New Roman" w:cs="Times New Roman"/>
          <w:sz w:val="24"/>
          <w:szCs w:val="24"/>
        </w:rPr>
        <w:t xml:space="preserve">Cuestionario </w:t>
      </w:r>
      <w:r w:rsidR="0075597B">
        <w:rPr>
          <w:rFonts w:ascii="Times New Roman" w:hAnsi="Times New Roman" w:cs="Times New Roman"/>
          <w:sz w:val="24"/>
          <w:szCs w:val="24"/>
        </w:rPr>
        <w:t xml:space="preserve">de 21 ítems que mide sintomatología depresiva. Se utilizó la versión IA traducida al español, validada en Chile por Valdés, Morales-Reyes, Pérez et al., 2017.  Se utilizó como puntaje de corte el sugerido en esta última publicación (13/14 puntos), con el fin de distinguir entre población con </w:t>
      </w:r>
      <w:r w:rsidR="0075597B">
        <w:rPr>
          <w:rFonts w:ascii="Times New Roman" w:hAnsi="Times New Roman" w:cs="Times New Roman"/>
          <w:sz w:val="24"/>
          <w:szCs w:val="24"/>
        </w:rPr>
        <w:lastRenderedPageBreak/>
        <w:t>sintomatología conocida y población sin sintomatología conocida. Mayor puntaje implica una mayor sintomatología.</w:t>
      </w:r>
    </w:p>
    <w:p w14:paraId="7959348B" w14:textId="5298F895" w:rsidR="0075597B" w:rsidRDefault="0075597B" w:rsidP="005A429A">
      <w:pPr>
        <w:pStyle w:val="Prrafodelista"/>
        <w:numPr>
          <w:ilvl w:val="0"/>
          <w:numId w:val="3"/>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OQ-45.2 (Lambert et al., 1996): Cuestionario de auto-reporte de 45 ítems que evalúa el funcionamiento global e interpersonal del paciente, permitiendo medir progresos terapéuticos en mediciones sucesivas. Consta de tres subescalas que abarcan distintas áreas del </w:t>
      </w:r>
      <w:r w:rsidR="00EB211F">
        <w:rPr>
          <w:rFonts w:ascii="Times New Roman" w:hAnsi="Times New Roman" w:cs="Times New Roman"/>
          <w:sz w:val="24"/>
          <w:szCs w:val="24"/>
        </w:rPr>
        <w:t>malestar general presentado por el paciente: sintomatología, relaciones interpersonales y rol social. Un mayor puntaje implica una mayor disfuncionalidad en dicha área. Cuenta con puntajes de corte nacionales que dividen a la población en funcional y disfuncional (</w:t>
      </w:r>
      <w:proofErr w:type="spellStart"/>
      <w:r w:rsidR="00EB211F">
        <w:rPr>
          <w:rFonts w:ascii="Times New Roman" w:hAnsi="Times New Roman" w:cs="Times New Roman"/>
          <w:sz w:val="24"/>
          <w:szCs w:val="24"/>
        </w:rPr>
        <w:t>Von</w:t>
      </w:r>
      <w:proofErr w:type="spellEnd"/>
      <w:r w:rsidR="00EB211F">
        <w:rPr>
          <w:rFonts w:ascii="Times New Roman" w:hAnsi="Times New Roman" w:cs="Times New Roman"/>
          <w:sz w:val="24"/>
          <w:szCs w:val="24"/>
        </w:rPr>
        <w:t xml:space="preserve"> Bergen</w:t>
      </w:r>
      <w:r w:rsidR="009A3F0A">
        <w:rPr>
          <w:rFonts w:ascii="Times New Roman" w:hAnsi="Times New Roman" w:cs="Times New Roman"/>
          <w:sz w:val="24"/>
          <w:szCs w:val="24"/>
        </w:rPr>
        <w:t xml:space="preserve"> y De la Parra</w:t>
      </w:r>
      <w:r w:rsidR="00EB211F">
        <w:rPr>
          <w:rFonts w:ascii="Times New Roman" w:hAnsi="Times New Roman" w:cs="Times New Roman"/>
          <w:sz w:val="24"/>
          <w:szCs w:val="24"/>
        </w:rPr>
        <w:t>, 2002).</w:t>
      </w:r>
    </w:p>
    <w:p w14:paraId="4CF69776" w14:textId="3F62F445" w:rsidR="00EB211F" w:rsidRPr="009A3F0A" w:rsidRDefault="00EB211F" w:rsidP="005A429A">
      <w:pPr>
        <w:pStyle w:val="Prrafodelista"/>
        <w:numPr>
          <w:ilvl w:val="0"/>
          <w:numId w:val="3"/>
        </w:numPr>
        <w:spacing w:after="0" w:line="360" w:lineRule="auto"/>
        <w:jc w:val="both"/>
        <w:rPr>
          <w:rFonts w:ascii="Times New Roman" w:hAnsi="Times New Roman" w:cs="Times New Roman"/>
          <w:sz w:val="24"/>
          <w:szCs w:val="24"/>
        </w:rPr>
      </w:pPr>
      <w:r w:rsidRPr="009A3F0A">
        <w:rPr>
          <w:rFonts w:ascii="Times New Roman" w:hAnsi="Times New Roman" w:cs="Times New Roman"/>
          <w:sz w:val="24"/>
          <w:szCs w:val="24"/>
        </w:rPr>
        <w:t>OPD-SQ (</w:t>
      </w:r>
      <w:proofErr w:type="spellStart"/>
      <w:r w:rsidRPr="009A3F0A">
        <w:rPr>
          <w:rFonts w:ascii="Times New Roman" w:hAnsi="Times New Roman" w:cs="Times New Roman"/>
          <w:sz w:val="24"/>
          <w:szCs w:val="24"/>
        </w:rPr>
        <w:t>Ehrenthal</w:t>
      </w:r>
      <w:proofErr w:type="spellEnd"/>
      <w:r w:rsidRPr="009A3F0A">
        <w:rPr>
          <w:rFonts w:ascii="Times New Roman" w:hAnsi="Times New Roman" w:cs="Times New Roman"/>
          <w:sz w:val="24"/>
          <w:szCs w:val="24"/>
        </w:rPr>
        <w:t xml:space="preserve"> et al., </w:t>
      </w:r>
      <w:r w:rsidR="009A3F0A" w:rsidRPr="009A3F0A">
        <w:rPr>
          <w:rFonts w:ascii="Times New Roman" w:hAnsi="Times New Roman" w:cs="Times New Roman"/>
          <w:sz w:val="24"/>
          <w:szCs w:val="24"/>
        </w:rPr>
        <w:t>2012): Cues</w:t>
      </w:r>
      <w:r w:rsidR="009A3F0A">
        <w:rPr>
          <w:rFonts w:ascii="Times New Roman" w:hAnsi="Times New Roman" w:cs="Times New Roman"/>
          <w:sz w:val="24"/>
          <w:szCs w:val="24"/>
        </w:rPr>
        <w:t xml:space="preserve">tionario de auto-reporte de 95 ítems que evalúa ocho dimensiones estructurales, basadas en cuatro funciones básicas que pueden ser dirigidas hacia el </w:t>
      </w:r>
      <w:proofErr w:type="spellStart"/>
      <w:r w:rsidR="009A3F0A">
        <w:rPr>
          <w:rFonts w:ascii="Times New Roman" w:hAnsi="Times New Roman" w:cs="Times New Roman"/>
          <w:sz w:val="24"/>
          <w:szCs w:val="24"/>
        </w:rPr>
        <w:t>self</w:t>
      </w:r>
      <w:proofErr w:type="spellEnd"/>
      <w:r w:rsidR="009A3F0A">
        <w:rPr>
          <w:rFonts w:ascii="Times New Roman" w:hAnsi="Times New Roman" w:cs="Times New Roman"/>
          <w:sz w:val="24"/>
          <w:szCs w:val="24"/>
        </w:rPr>
        <w:t xml:space="preserve"> o hacia el objeto. Las ocho dimensiones corresponden a: La autopercepción, percepción en relación al objeto, autorregulación, regulación en relación al objeto, vínculo interno, vínculo externo, comunicación interna, comunicación externa. </w:t>
      </w:r>
      <w:r w:rsidR="002300C6">
        <w:rPr>
          <w:rFonts w:ascii="Times New Roman" w:hAnsi="Times New Roman" w:cs="Times New Roman"/>
          <w:sz w:val="24"/>
          <w:szCs w:val="24"/>
        </w:rPr>
        <w:t xml:space="preserve">En este estudio se utilizó el puntaje global, como medida de vulnerabilidad estructural. Un mayor puntaje corresponde a una mayor vulnerabilidad. </w:t>
      </w:r>
      <w:r w:rsidR="009A3F0A">
        <w:rPr>
          <w:rFonts w:ascii="Times New Roman" w:hAnsi="Times New Roman" w:cs="Times New Roman"/>
          <w:sz w:val="24"/>
          <w:szCs w:val="24"/>
        </w:rPr>
        <w:t xml:space="preserve">El instrumento mostró una buena consistencia interna (α = .98) y relación con variables clínicas, en población chilena (De la Parra, Undurraga, </w:t>
      </w:r>
      <w:proofErr w:type="spellStart"/>
      <w:r w:rsidR="009A3F0A">
        <w:rPr>
          <w:rFonts w:ascii="Times New Roman" w:hAnsi="Times New Roman" w:cs="Times New Roman"/>
          <w:sz w:val="24"/>
          <w:szCs w:val="24"/>
        </w:rPr>
        <w:t>Crempien</w:t>
      </w:r>
      <w:proofErr w:type="spellEnd"/>
      <w:r w:rsidR="009A3F0A">
        <w:rPr>
          <w:rFonts w:ascii="Times New Roman" w:hAnsi="Times New Roman" w:cs="Times New Roman"/>
          <w:sz w:val="24"/>
          <w:szCs w:val="24"/>
        </w:rPr>
        <w:t xml:space="preserve"> et al., por publicar). </w:t>
      </w:r>
    </w:p>
    <w:p w14:paraId="09B7A8BE" w14:textId="1C25FC4A" w:rsidR="005A429A" w:rsidRDefault="005A429A" w:rsidP="0075678D">
      <w:pPr>
        <w:spacing w:after="0" w:line="360" w:lineRule="auto"/>
        <w:jc w:val="both"/>
        <w:rPr>
          <w:rFonts w:ascii="Times New Roman" w:hAnsi="Times New Roman" w:cs="Times New Roman"/>
          <w:sz w:val="24"/>
          <w:szCs w:val="24"/>
        </w:rPr>
      </w:pPr>
    </w:p>
    <w:p w14:paraId="784C705B" w14:textId="2E0FA220" w:rsidR="00623BA0" w:rsidRPr="00623BA0" w:rsidRDefault="00623BA0" w:rsidP="0075678D">
      <w:pPr>
        <w:spacing w:after="0" w:line="360" w:lineRule="auto"/>
        <w:jc w:val="both"/>
        <w:rPr>
          <w:rFonts w:ascii="Times New Roman" w:hAnsi="Times New Roman" w:cs="Times New Roman"/>
          <w:b/>
          <w:i/>
          <w:sz w:val="24"/>
          <w:szCs w:val="24"/>
        </w:rPr>
      </w:pPr>
      <w:r w:rsidRPr="00623BA0">
        <w:rPr>
          <w:rFonts w:ascii="Times New Roman" w:hAnsi="Times New Roman" w:cs="Times New Roman"/>
          <w:b/>
          <w:i/>
          <w:sz w:val="24"/>
          <w:szCs w:val="24"/>
        </w:rPr>
        <w:t>Análisis Estadísticos</w:t>
      </w:r>
    </w:p>
    <w:p w14:paraId="68254CE2" w14:textId="28CB72CE" w:rsidR="00B11AA1" w:rsidRDefault="00B11AA1" w:rsidP="0075678D">
      <w:pPr>
        <w:spacing w:after="0" w:line="360" w:lineRule="auto"/>
        <w:jc w:val="both"/>
        <w:rPr>
          <w:rFonts w:ascii="Times New Roman" w:hAnsi="Times New Roman" w:cs="Times New Roman"/>
          <w:sz w:val="24"/>
          <w:szCs w:val="24"/>
        </w:rPr>
      </w:pPr>
    </w:p>
    <w:p w14:paraId="1FFFFFC3" w14:textId="1518D7CD" w:rsidR="00623BA0" w:rsidRDefault="00623BA0" w:rsidP="0075678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En primer lugar, se hizo una comparación de las características sociodemográficas y clínicas de las muestras. Para establecer si las diferencias eran significativas, se realizó </w:t>
      </w:r>
      <w:r w:rsidR="00CF2C89">
        <w:rPr>
          <w:rFonts w:ascii="Times New Roman" w:hAnsi="Times New Roman" w:cs="Times New Roman"/>
          <w:sz w:val="24"/>
          <w:szCs w:val="24"/>
        </w:rPr>
        <w:t xml:space="preserve">el </w:t>
      </w:r>
      <w:r>
        <w:rPr>
          <w:rFonts w:ascii="Times New Roman" w:hAnsi="Times New Roman" w:cs="Times New Roman"/>
          <w:sz w:val="24"/>
          <w:szCs w:val="24"/>
        </w:rPr>
        <w:t xml:space="preserve">Test de Wilcoxon, para variables continuas, dado que no se pudo establecer la distribución normal de las variables. En el caso de las variables categóricas, se realizó un Test Exacto de Fisher, dada la distribución de las categorías. </w:t>
      </w:r>
      <w:r w:rsidR="00AF5F28">
        <w:rPr>
          <w:rFonts w:ascii="Times New Roman" w:hAnsi="Times New Roman" w:cs="Times New Roman"/>
          <w:sz w:val="24"/>
          <w:szCs w:val="24"/>
        </w:rPr>
        <w:t xml:space="preserve">Finalmente, se realizó un ANOVA factorial con corrección de </w:t>
      </w:r>
      <w:proofErr w:type="spellStart"/>
      <w:r w:rsidR="00AF5F28">
        <w:rPr>
          <w:rFonts w:ascii="Times New Roman" w:hAnsi="Times New Roman" w:cs="Times New Roman"/>
          <w:sz w:val="24"/>
          <w:szCs w:val="24"/>
        </w:rPr>
        <w:t>Greenhouse-Geisser</w:t>
      </w:r>
      <w:proofErr w:type="spellEnd"/>
      <w:r w:rsidR="00AF5F28">
        <w:rPr>
          <w:rFonts w:ascii="Times New Roman" w:hAnsi="Times New Roman" w:cs="Times New Roman"/>
          <w:sz w:val="24"/>
          <w:szCs w:val="24"/>
        </w:rPr>
        <w:t xml:space="preserve">, para establecer la relación entre el tipo de muestra y el cambio en el malestar general pre y post-terapia. </w:t>
      </w:r>
    </w:p>
    <w:p w14:paraId="4326126F" w14:textId="77777777" w:rsidR="00AF5F28" w:rsidRPr="009A3F0A" w:rsidRDefault="00AF5F28" w:rsidP="0075678D">
      <w:pPr>
        <w:spacing w:after="0" w:line="360" w:lineRule="auto"/>
        <w:jc w:val="both"/>
        <w:rPr>
          <w:rFonts w:ascii="Times New Roman" w:hAnsi="Times New Roman" w:cs="Times New Roman"/>
          <w:sz w:val="24"/>
          <w:szCs w:val="24"/>
        </w:rPr>
      </w:pPr>
    </w:p>
    <w:p w14:paraId="6E5BC357" w14:textId="3A890307" w:rsidR="00B11AA1" w:rsidRDefault="00B11AA1" w:rsidP="0075678D">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Resultados</w:t>
      </w:r>
    </w:p>
    <w:p w14:paraId="3A1F259B" w14:textId="57F26BE5" w:rsidR="00B11AA1" w:rsidRDefault="00B11AA1" w:rsidP="0075678D">
      <w:pPr>
        <w:spacing w:after="0" w:line="360" w:lineRule="auto"/>
        <w:jc w:val="both"/>
        <w:rPr>
          <w:rFonts w:ascii="Times New Roman" w:hAnsi="Times New Roman" w:cs="Times New Roman"/>
          <w:b/>
          <w:sz w:val="24"/>
          <w:szCs w:val="24"/>
        </w:rPr>
      </w:pPr>
    </w:p>
    <w:p w14:paraId="0A222010" w14:textId="75B1CBC8" w:rsidR="00B11AA1" w:rsidRDefault="00B11AA1" w:rsidP="0075678D">
      <w:pPr>
        <w:spacing w:after="0" w:line="360" w:lineRule="auto"/>
        <w:jc w:val="both"/>
        <w:rPr>
          <w:rFonts w:ascii="Times New Roman" w:hAnsi="Times New Roman" w:cs="Times New Roman"/>
          <w:b/>
          <w:i/>
          <w:sz w:val="24"/>
          <w:szCs w:val="24"/>
        </w:rPr>
      </w:pPr>
      <w:r>
        <w:rPr>
          <w:rFonts w:ascii="Times New Roman" w:hAnsi="Times New Roman" w:cs="Times New Roman"/>
          <w:b/>
          <w:i/>
          <w:sz w:val="24"/>
          <w:szCs w:val="24"/>
        </w:rPr>
        <w:t xml:space="preserve">Comparación de características sociodemográficas </w:t>
      </w:r>
      <w:r w:rsidR="0075678D">
        <w:rPr>
          <w:rFonts w:ascii="Times New Roman" w:hAnsi="Times New Roman" w:cs="Times New Roman"/>
          <w:b/>
          <w:i/>
          <w:sz w:val="24"/>
          <w:szCs w:val="24"/>
        </w:rPr>
        <w:t xml:space="preserve">y </w:t>
      </w:r>
      <w:r w:rsidR="004175C4">
        <w:rPr>
          <w:rFonts w:ascii="Times New Roman" w:hAnsi="Times New Roman" w:cs="Times New Roman"/>
          <w:b/>
          <w:i/>
          <w:sz w:val="24"/>
          <w:szCs w:val="24"/>
        </w:rPr>
        <w:t>clínicas</w:t>
      </w:r>
      <w:r w:rsidR="0075678D">
        <w:rPr>
          <w:rFonts w:ascii="Times New Roman" w:hAnsi="Times New Roman" w:cs="Times New Roman"/>
          <w:b/>
          <w:i/>
          <w:sz w:val="24"/>
          <w:szCs w:val="24"/>
        </w:rPr>
        <w:t xml:space="preserve"> </w:t>
      </w:r>
      <w:r>
        <w:rPr>
          <w:rFonts w:ascii="Times New Roman" w:hAnsi="Times New Roman" w:cs="Times New Roman"/>
          <w:b/>
          <w:i/>
          <w:sz w:val="24"/>
          <w:szCs w:val="24"/>
        </w:rPr>
        <w:t>de la población atendida en Centros de Salud Mental Comunitaria (</w:t>
      </w:r>
      <w:proofErr w:type="spellStart"/>
      <w:r>
        <w:rPr>
          <w:rFonts w:ascii="Times New Roman" w:hAnsi="Times New Roman" w:cs="Times New Roman"/>
          <w:b/>
          <w:i/>
          <w:sz w:val="24"/>
          <w:szCs w:val="24"/>
        </w:rPr>
        <w:t>COSAMs</w:t>
      </w:r>
      <w:proofErr w:type="spellEnd"/>
      <w:r>
        <w:rPr>
          <w:rFonts w:ascii="Times New Roman" w:hAnsi="Times New Roman" w:cs="Times New Roman"/>
          <w:b/>
          <w:i/>
          <w:sz w:val="24"/>
          <w:szCs w:val="24"/>
        </w:rPr>
        <w:t>) y centros privado-universitario</w:t>
      </w:r>
    </w:p>
    <w:p w14:paraId="3C677048" w14:textId="674B53C5" w:rsidR="00B11AA1" w:rsidRDefault="00B11AA1" w:rsidP="0075678D">
      <w:pPr>
        <w:spacing w:after="0" w:line="360" w:lineRule="auto"/>
        <w:jc w:val="both"/>
        <w:rPr>
          <w:rFonts w:ascii="Times New Roman" w:hAnsi="Times New Roman" w:cs="Times New Roman"/>
          <w:b/>
          <w:i/>
          <w:sz w:val="24"/>
          <w:szCs w:val="24"/>
        </w:rPr>
      </w:pPr>
    </w:p>
    <w:p w14:paraId="4FD98FB2" w14:textId="1EB18AC9" w:rsidR="00B11AA1" w:rsidRDefault="00E65CA9" w:rsidP="0075678D">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ab/>
      </w:r>
      <w:r w:rsidR="00546E10">
        <w:rPr>
          <w:rFonts w:ascii="Times New Roman" w:hAnsi="Times New Roman" w:cs="Times New Roman"/>
          <w:sz w:val="24"/>
          <w:szCs w:val="24"/>
        </w:rPr>
        <w:t xml:space="preserve">En la Tabla 3.1 podemos observar </w:t>
      </w:r>
      <w:r w:rsidR="00750B03">
        <w:rPr>
          <w:rFonts w:ascii="Times New Roman" w:hAnsi="Times New Roman" w:cs="Times New Roman"/>
          <w:sz w:val="24"/>
          <w:szCs w:val="24"/>
        </w:rPr>
        <w:t xml:space="preserve">una comparación de las principales características sociodemográficas </w:t>
      </w:r>
      <w:r w:rsidR="005D4E19">
        <w:rPr>
          <w:rFonts w:ascii="Times New Roman" w:hAnsi="Times New Roman" w:cs="Times New Roman"/>
          <w:sz w:val="24"/>
          <w:szCs w:val="24"/>
        </w:rPr>
        <w:t xml:space="preserve">de las muestras de pacientes atendidos en </w:t>
      </w:r>
      <w:proofErr w:type="spellStart"/>
      <w:r w:rsidR="005D4E19">
        <w:rPr>
          <w:rFonts w:ascii="Times New Roman" w:hAnsi="Times New Roman" w:cs="Times New Roman"/>
          <w:sz w:val="24"/>
          <w:szCs w:val="24"/>
        </w:rPr>
        <w:t>COSAMs</w:t>
      </w:r>
      <w:proofErr w:type="spellEnd"/>
      <w:r w:rsidR="005D4E19">
        <w:rPr>
          <w:rFonts w:ascii="Times New Roman" w:hAnsi="Times New Roman" w:cs="Times New Roman"/>
          <w:sz w:val="24"/>
          <w:szCs w:val="24"/>
        </w:rPr>
        <w:t xml:space="preserve"> y las obtenidas en centros de atención psicológica privados, pertenecientes a universidades. Se puede observar que exist</w:t>
      </w:r>
      <w:r w:rsidR="00230BBA">
        <w:rPr>
          <w:rFonts w:ascii="Times New Roman" w:hAnsi="Times New Roman" w:cs="Times New Roman"/>
          <w:sz w:val="24"/>
          <w:szCs w:val="24"/>
        </w:rPr>
        <w:t>ieron</w:t>
      </w:r>
      <w:r w:rsidR="005D4E19">
        <w:rPr>
          <w:rFonts w:ascii="Times New Roman" w:hAnsi="Times New Roman" w:cs="Times New Roman"/>
          <w:sz w:val="24"/>
          <w:szCs w:val="24"/>
        </w:rPr>
        <w:t xml:space="preserve"> diferencias en la edad promedio de cada muestra (</w:t>
      </w:r>
      <w:proofErr w:type="gramStart"/>
      <w:r w:rsidR="005D4E19" w:rsidRPr="00A1795C">
        <w:rPr>
          <w:rFonts w:ascii="Times New Roman" w:hAnsi="Times New Roman" w:cs="Times New Roman"/>
          <w:i/>
          <w:sz w:val="24"/>
          <w:szCs w:val="24"/>
        </w:rPr>
        <w:t>t</w:t>
      </w:r>
      <w:r w:rsidR="005D4E19" w:rsidRPr="005D4E19">
        <w:rPr>
          <w:rFonts w:ascii="Times New Roman" w:hAnsi="Times New Roman" w:cs="Times New Roman"/>
          <w:sz w:val="24"/>
          <w:szCs w:val="24"/>
          <w:vertAlign w:val="subscript"/>
        </w:rPr>
        <w:t>(</w:t>
      </w:r>
      <w:proofErr w:type="gramEnd"/>
      <w:r w:rsidR="005D4E19" w:rsidRPr="005D4E19">
        <w:rPr>
          <w:rFonts w:ascii="Times New Roman" w:hAnsi="Times New Roman" w:cs="Times New Roman"/>
          <w:sz w:val="24"/>
          <w:szCs w:val="24"/>
          <w:vertAlign w:val="subscript"/>
        </w:rPr>
        <w:t>118)</w:t>
      </w:r>
      <w:r w:rsidR="005D4E19" w:rsidRPr="005D4E19">
        <w:rPr>
          <w:rFonts w:ascii="Times New Roman" w:hAnsi="Times New Roman" w:cs="Times New Roman"/>
          <w:sz w:val="24"/>
          <w:szCs w:val="24"/>
        </w:rPr>
        <w:t xml:space="preserve">  = -8,02, </w:t>
      </w:r>
      <w:r w:rsidR="005D4E19" w:rsidRPr="00A1795C">
        <w:rPr>
          <w:rFonts w:ascii="Times New Roman" w:hAnsi="Times New Roman" w:cs="Times New Roman"/>
          <w:i/>
          <w:sz w:val="24"/>
          <w:szCs w:val="24"/>
        </w:rPr>
        <w:t>p</w:t>
      </w:r>
      <w:r w:rsidR="005D4E19" w:rsidRPr="005D4E19">
        <w:rPr>
          <w:rFonts w:ascii="Times New Roman" w:hAnsi="Times New Roman" w:cs="Times New Roman"/>
          <w:sz w:val="24"/>
          <w:szCs w:val="24"/>
        </w:rPr>
        <w:t xml:space="preserve"> &lt; ,001</w:t>
      </w:r>
      <w:r w:rsidR="005D4E19">
        <w:rPr>
          <w:rFonts w:ascii="Times New Roman" w:hAnsi="Times New Roman" w:cs="Times New Roman"/>
          <w:sz w:val="24"/>
          <w:szCs w:val="24"/>
        </w:rPr>
        <w:t>). Por otro lado, se observ</w:t>
      </w:r>
      <w:r w:rsidR="00230BBA">
        <w:rPr>
          <w:rFonts w:ascii="Times New Roman" w:hAnsi="Times New Roman" w:cs="Times New Roman"/>
          <w:sz w:val="24"/>
          <w:szCs w:val="24"/>
        </w:rPr>
        <w:t>ó</w:t>
      </w:r>
      <w:r w:rsidR="005D4E19">
        <w:rPr>
          <w:rFonts w:ascii="Times New Roman" w:hAnsi="Times New Roman" w:cs="Times New Roman"/>
          <w:sz w:val="24"/>
          <w:szCs w:val="24"/>
        </w:rPr>
        <w:t xml:space="preserve"> que la proporción de mujeres es mayor en </w:t>
      </w:r>
      <w:r w:rsidR="00D4686E">
        <w:rPr>
          <w:rFonts w:ascii="Times New Roman" w:hAnsi="Times New Roman" w:cs="Times New Roman"/>
          <w:sz w:val="24"/>
          <w:szCs w:val="24"/>
        </w:rPr>
        <w:t>la muestra de instituciones públicas, al compararlo con las privadas (</w:t>
      </w:r>
      <w:r w:rsidR="00D4686E" w:rsidRPr="00A1795C">
        <w:rPr>
          <w:rFonts w:ascii="Times New Roman" w:hAnsi="Times New Roman" w:cs="Times New Roman"/>
          <w:i/>
          <w:sz w:val="24"/>
          <w:szCs w:val="24"/>
        </w:rPr>
        <w:t>p</w:t>
      </w:r>
      <w:r w:rsidR="00D4686E">
        <w:rPr>
          <w:rFonts w:ascii="Times New Roman" w:hAnsi="Times New Roman" w:cs="Times New Roman"/>
          <w:sz w:val="24"/>
          <w:szCs w:val="24"/>
        </w:rPr>
        <w:t xml:space="preserve"> = ,007). También se observa</w:t>
      </w:r>
      <w:r w:rsidR="00230BBA">
        <w:rPr>
          <w:rFonts w:ascii="Times New Roman" w:hAnsi="Times New Roman" w:cs="Times New Roman"/>
          <w:sz w:val="24"/>
          <w:szCs w:val="24"/>
        </w:rPr>
        <w:t>ro</w:t>
      </w:r>
      <w:r w:rsidR="00D4686E">
        <w:rPr>
          <w:rFonts w:ascii="Times New Roman" w:hAnsi="Times New Roman" w:cs="Times New Roman"/>
          <w:sz w:val="24"/>
          <w:szCs w:val="24"/>
        </w:rPr>
        <w:t>n diferencias en el nivel de escolaridad de ambas muestras (</w:t>
      </w:r>
      <w:r w:rsidR="00D4686E" w:rsidRPr="00A1795C">
        <w:rPr>
          <w:rFonts w:ascii="Times New Roman" w:hAnsi="Times New Roman" w:cs="Times New Roman"/>
          <w:i/>
          <w:sz w:val="24"/>
          <w:szCs w:val="24"/>
        </w:rPr>
        <w:t>p</w:t>
      </w:r>
      <w:r w:rsidR="00D4686E">
        <w:rPr>
          <w:rFonts w:ascii="Times New Roman" w:hAnsi="Times New Roman" w:cs="Times New Roman"/>
          <w:sz w:val="24"/>
          <w:szCs w:val="24"/>
        </w:rPr>
        <w:t xml:space="preserve"> &lt; ,001), </w:t>
      </w:r>
      <w:r w:rsidR="00230BBA">
        <w:rPr>
          <w:rFonts w:ascii="Times New Roman" w:hAnsi="Times New Roman" w:cs="Times New Roman"/>
          <w:sz w:val="24"/>
          <w:szCs w:val="24"/>
        </w:rPr>
        <w:t>encontrándose</w:t>
      </w:r>
      <w:r w:rsidR="00D4686E">
        <w:rPr>
          <w:rFonts w:ascii="Times New Roman" w:hAnsi="Times New Roman" w:cs="Times New Roman"/>
          <w:sz w:val="24"/>
          <w:szCs w:val="24"/>
        </w:rPr>
        <w:t xml:space="preserve"> que la muestra privada posee más de un 66% de pacientes con educación superior. </w:t>
      </w:r>
      <w:r w:rsidR="00230BBA">
        <w:rPr>
          <w:rFonts w:ascii="Times New Roman" w:hAnsi="Times New Roman" w:cs="Times New Roman"/>
          <w:sz w:val="24"/>
          <w:szCs w:val="24"/>
        </w:rPr>
        <w:t>Las diferencias también se encontraron a nivel de ocupación (</w:t>
      </w:r>
      <w:r w:rsidR="00230BBA" w:rsidRPr="00A1795C">
        <w:rPr>
          <w:rFonts w:ascii="Times New Roman" w:hAnsi="Times New Roman" w:cs="Times New Roman"/>
          <w:i/>
          <w:sz w:val="24"/>
          <w:szCs w:val="24"/>
        </w:rPr>
        <w:t>p</w:t>
      </w:r>
      <w:r w:rsidR="00230BBA">
        <w:rPr>
          <w:rFonts w:ascii="Times New Roman" w:hAnsi="Times New Roman" w:cs="Times New Roman"/>
          <w:sz w:val="24"/>
          <w:szCs w:val="24"/>
        </w:rPr>
        <w:t xml:space="preserve"> &lt; ,001), donde se encontró que la muestra de centros universitarios está constituida en más de un 76% por estudiantes y trabajadores dependientes. No se encontraron diferencias en la proporción de enfermedades físicas reportadas por los pacientes (</w:t>
      </w:r>
      <w:r w:rsidR="00230BBA" w:rsidRPr="00A1795C">
        <w:rPr>
          <w:rFonts w:ascii="Times New Roman" w:hAnsi="Times New Roman" w:cs="Times New Roman"/>
          <w:i/>
          <w:sz w:val="24"/>
          <w:szCs w:val="24"/>
        </w:rPr>
        <w:t>p</w:t>
      </w:r>
      <w:r w:rsidR="00230BBA">
        <w:rPr>
          <w:rFonts w:ascii="Times New Roman" w:hAnsi="Times New Roman" w:cs="Times New Roman"/>
          <w:sz w:val="24"/>
          <w:szCs w:val="24"/>
        </w:rPr>
        <w:t xml:space="preserve"> = ,564).</w:t>
      </w:r>
    </w:p>
    <w:p w14:paraId="75AA7F72" w14:textId="1B33ECB1" w:rsidR="00750B03" w:rsidRDefault="0075678D" w:rsidP="0075678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Por otro lado, en la Tabla 3.2 podemos observar que ambas muestras también presentan diferencias en las medidas </w:t>
      </w:r>
      <w:r w:rsidR="004175C4">
        <w:rPr>
          <w:rFonts w:ascii="Times New Roman" w:hAnsi="Times New Roman" w:cs="Times New Roman"/>
          <w:sz w:val="24"/>
          <w:szCs w:val="24"/>
        </w:rPr>
        <w:t>clínicas</w:t>
      </w:r>
      <w:r w:rsidR="00A06018">
        <w:rPr>
          <w:rFonts w:ascii="Times New Roman" w:hAnsi="Times New Roman" w:cs="Times New Roman"/>
          <w:sz w:val="24"/>
          <w:szCs w:val="24"/>
        </w:rPr>
        <w:t>, recolectadas en la primera entrevista</w:t>
      </w:r>
      <w:r>
        <w:rPr>
          <w:rFonts w:ascii="Times New Roman" w:hAnsi="Times New Roman" w:cs="Times New Roman"/>
          <w:sz w:val="24"/>
          <w:szCs w:val="24"/>
        </w:rPr>
        <w:t>. Por ejemplo, se observa que la población atendida en COSAM presenta un mayor nivel de sintomatología depresiva, medido por el BDI-IA (</w:t>
      </w:r>
      <w:proofErr w:type="gramStart"/>
      <w:r w:rsidRPr="00A1795C">
        <w:rPr>
          <w:rFonts w:ascii="Times New Roman" w:hAnsi="Times New Roman" w:cs="Times New Roman"/>
          <w:i/>
          <w:sz w:val="24"/>
          <w:szCs w:val="24"/>
        </w:rPr>
        <w:t>t</w:t>
      </w:r>
      <w:r w:rsidRPr="0075678D">
        <w:rPr>
          <w:rFonts w:ascii="Times New Roman" w:hAnsi="Times New Roman" w:cs="Times New Roman"/>
          <w:sz w:val="24"/>
          <w:szCs w:val="24"/>
          <w:vertAlign w:val="subscript"/>
        </w:rPr>
        <w:t>(</w:t>
      </w:r>
      <w:proofErr w:type="gramEnd"/>
      <w:r w:rsidRPr="0075678D">
        <w:rPr>
          <w:rFonts w:ascii="Times New Roman" w:hAnsi="Times New Roman" w:cs="Times New Roman"/>
          <w:sz w:val="24"/>
          <w:szCs w:val="24"/>
          <w:vertAlign w:val="subscript"/>
        </w:rPr>
        <w:t>141)</w:t>
      </w:r>
      <w:r w:rsidRPr="0075678D">
        <w:rPr>
          <w:rFonts w:ascii="Times New Roman" w:hAnsi="Times New Roman" w:cs="Times New Roman"/>
          <w:sz w:val="24"/>
          <w:szCs w:val="24"/>
        </w:rPr>
        <w:t xml:space="preserve"> = -4,97, </w:t>
      </w:r>
      <w:r w:rsidRPr="00A1795C">
        <w:rPr>
          <w:rFonts w:ascii="Times New Roman" w:hAnsi="Times New Roman" w:cs="Times New Roman"/>
          <w:i/>
          <w:sz w:val="24"/>
          <w:szCs w:val="24"/>
        </w:rPr>
        <w:t>p</w:t>
      </w:r>
      <w:r w:rsidRPr="0075678D">
        <w:rPr>
          <w:rFonts w:ascii="Times New Roman" w:hAnsi="Times New Roman" w:cs="Times New Roman"/>
          <w:sz w:val="24"/>
          <w:szCs w:val="24"/>
        </w:rPr>
        <w:t xml:space="preserve"> &lt; ,001</w:t>
      </w:r>
      <w:r>
        <w:rPr>
          <w:rFonts w:ascii="Times New Roman" w:hAnsi="Times New Roman" w:cs="Times New Roman"/>
          <w:sz w:val="24"/>
          <w:szCs w:val="24"/>
        </w:rPr>
        <w:t>). El nivel de malestar general, medido a través del OQ-45.2 también presentó mayores niveles en el grupo atendido en instituciones públicas</w:t>
      </w:r>
      <w:r w:rsidR="00A06018">
        <w:rPr>
          <w:rFonts w:ascii="Times New Roman" w:hAnsi="Times New Roman" w:cs="Times New Roman"/>
          <w:sz w:val="24"/>
          <w:szCs w:val="24"/>
        </w:rPr>
        <w:t>, contabilizando tanto su puntaje global (</w:t>
      </w:r>
      <w:r w:rsidR="00A06018" w:rsidRPr="00A1795C">
        <w:rPr>
          <w:rFonts w:ascii="Times New Roman" w:hAnsi="Times New Roman" w:cs="Times New Roman"/>
          <w:i/>
          <w:sz w:val="24"/>
          <w:szCs w:val="24"/>
        </w:rPr>
        <w:t>t</w:t>
      </w:r>
      <w:r w:rsidR="00A06018" w:rsidRPr="00A06018">
        <w:rPr>
          <w:rFonts w:ascii="Times New Roman" w:hAnsi="Times New Roman" w:cs="Times New Roman"/>
          <w:sz w:val="24"/>
          <w:szCs w:val="24"/>
          <w:vertAlign w:val="subscript"/>
        </w:rPr>
        <w:t>(143)</w:t>
      </w:r>
      <w:r w:rsidR="00A06018" w:rsidRPr="00A06018">
        <w:rPr>
          <w:rFonts w:ascii="Times New Roman" w:hAnsi="Times New Roman" w:cs="Times New Roman"/>
          <w:sz w:val="24"/>
          <w:szCs w:val="24"/>
        </w:rPr>
        <w:t xml:space="preserve"> = -5,45, </w:t>
      </w:r>
      <w:r w:rsidR="00A06018" w:rsidRPr="00A1795C">
        <w:rPr>
          <w:rFonts w:ascii="Times New Roman" w:hAnsi="Times New Roman" w:cs="Times New Roman"/>
          <w:i/>
          <w:sz w:val="24"/>
          <w:szCs w:val="24"/>
        </w:rPr>
        <w:t>p</w:t>
      </w:r>
      <w:r w:rsidR="00A06018" w:rsidRPr="00A06018">
        <w:rPr>
          <w:rFonts w:ascii="Times New Roman" w:hAnsi="Times New Roman" w:cs="Times New Roman"/>
          <w:sz w:val="24"/>
          <w:szCs w:val="24"/>
        </w:rPr>
        <w:t xml:space="preserve"> &lt; ,001</w:t>
      </w:r>
      <w:r w:rsidR="00A06018">
        <w:rPr>
          <w:rFonts w:ascii="Times New Roman" w:hAnsi="Times New Roman" w:cs="Times New Roman"/>
          <w:sz w:val="24"/>
          <w:szCs w:val="24"/>
        </w:rPr>
        <w:t xml:space="preserve">), como sus subescalas (Relaciones Interpersonales: </w:t>
      </w:r>
      <w:r w:rsidR="00A06018" w:rsidRPr="00A1795C">
        <w:rPr>
          <w:rFonts w:ascii="Times New Roman" w:hAnsi="Times New Roman" w:cs="Times New Roman"/>
          <w:i/>
          <w:sz w:val="24"/>
          <w:szCs w:val="24"/>
        </w:rPr>
        <w:t>t</w:t>
      </w:r>
      <w:r w:rsidR="00A06018" w:rsidRPr="00A1795C">
        <w:rPr>
          <w:rFonts w:ascii="Times New Roman" w:hAnsi="Times New Roman" w:cs="Times New Roman"/>
          <w:sz w:val="24"/>
          <w:szCs w:val="24"/>
          <w:vertAlign w:val="subscript"/>
        </w:rPr>
        <w:t>(141)</w:t>
      </w:r>
      <w:r w:rsidR="00A06018" w:rsidRPr="00A06018">
        <w:rPr>
          <w:rFonts w:ascii="Times New Roman" w:hAnsi="Times New Roman" w:cs="Times New Roman"/>
          <w:sz w:val="24"/>
          <w:szCs w:val="24"/>
        </w:rPr>
        <w:t xml:space="preserve"> = -2,82, </w:t>
      </w:r>
      <w:r w:rsidR="00A06018" w:rsidRPr="00A1795C">
        <w:rPr>
          <w:rFonts w:ascii="Times New Roman" w:hAnsi="Times New Roman" w:cs="Times New Roman"/>
          <w:i/>
          <w:sz w:val="24"/>
          <w:szCs w:val="24"/>
        </w:rPr>
        <w:t>p</w:t>
      </w:r>
      <w:r w:rsidR="00A06018" w:rsidRPr="00A06018">
        <w:rPr>
          <w:rFonts w:ascii="Times New Roman" w:hAnsi="Times New Roman" w:cs="Times New Roman"/>
          <w:sz w:val="24"/>
          <w:szCs w:val="24"/>
        </w:rPr>
        <w:t xml:space="preserve"> = ,005</w:t>
      </w:r>
      <w:r w:rsidR="00A06018">
        <w:rPr>
          <w:rFonts w:ascii="Times New Roman" w:hAnsi="Times New Roman" w:cs="Times New Roman"/>
          <w:sz w:val="24"/>
          <w:szCs w:val="24"/>
        </w:rPr>
        <w:t xml:space="preserve">; Rol Social: </w:t>
      </w:r>
      <w:r w:rsidR="00A06018" w:rsidRPr="00A1795C">
        <w:rPr>
          <w:rFonts w:ascii="Times New Roman" w:hAnsi="Times New Roman" w:cs="Times New Roman"/>
          <w:i/>
          <w:sz w:val="24"/>
          <w:szCs w:val="24"/>
        </w:rPr>
        <w:t>t</w:t>
      </w:r>
      <w:r w:rsidR="00A06018" w:rsidRPr="00A06018">
        <w:rPr>
          <w:rFonts w:ascii="Times New Roman" w:hAnsi="Times New Roman" w:cs="Times New Roman"/>
          <w:sz w:val="24"/>
          <w:szCs w:val="24"/>
          <w:vertAlign w:val="subscript"/>
        </w:rPr>
        <w:t xml:space="preserve">(137) </w:t>
      </w:r>
      <w:r w:rsidR="00A06018" w:rsidRPr="00A06018">
        <w:rPr>
          <w:rFonts w:ascii="Times New Roman" w:hAnsi="Times New Roman" w:cs="Times New Roman"/>
          <w:sz w:val="24"/>
          <w:szCs w:val="24"/>
        </w:rPr>
        <w:t xml:space="preserve">= -2,30, </w:t>
      </w:r>
      <w:r w:rsidR="00A06018" w:rsidRPr="00A1795C">
        <w:rPr>
          <w:rFonts w:ascii="Times New Roman" w:hAnsi="Times New Roman" w:cs="Times New Roman"/>
          <w:i/>
          <w:sz w:val="24"/>
          <w:szCs w:val="24"/>
        </w:rPr>
        <w:t>p</w:t>
      </w:r>
      <w:r w:rsidR="00A06018" w:rsidRPr="00A06018">
        <w:rPr>
          <w:rFonts w:ascii="Times New Roman" w:hAnsi="Times New Roman" w:cs="Times New Roman"/>
          <w:sz w:val="24"/>
          <w:szCs w:val="24"/>
        </w:rPr>
        <w:t xml:space="preserve"> = ,023</w:t>
      </w:r>
      <w:r w:rsidR="001B013A">
        <w:rPr>
          <w:rFonts w:ascii="Times New Roman" w:hAnsi="Times New Roman" w:cs="Times New Roman"/>
          <w:sz w:val="24"/>
          <w:szCs w:val="24"/>
        </w:rPr>
        <w:t xml:space="preserve">; Síntomas: </w:t>
      </w:r>
      <w:r w:rsidR="001B013A" w:rsidRPr="00A1795C">
        <w:rPr>
          <w:rFonts w:ascii="Times New Roman" w:hAnsi="Times New Roman" w:cs="Times New Roman"/>
          <w:i/>
          <w:sz w:val="24"/>
          <w:szCs w:val="24"/>
        </w:rPr>
        <w:t>t</w:t>
      </w:r>
      <w:r w:rsidR="001B013A" w:rsidRPr="00A1795C">
        <w:rPr>
          <w:rFonts w:ascii="Times New Roman" w:hAnsi="Times New Roman" w:cs="Times New Roman"/>
          <w:sz w:val="24"/>
          <w:szCs w:val="24"/>
          <w:vertAlign w:val="subscript"/>
        </w:rPr>
        <w:t>(142)</w:t>
      </w:r>
      <w:r w:rsidR="001B013A" w:rsidRPr="001B013A">
        <w:rPr>
          <w:rFonts w:ascii="Times New Roman" w:hAnsi="Times New Roman" w:cs="Times New Roman"/>
          <w:sz w:val="24"/>
          <w:szCs w:val="24"/>
        </w:rPr>
        <w:t xml:space="preserve"> = -6,57, </w:t>
      </w:r>
      <w:r w:rsidR="001B013A" w:rsidRPr="00A1795C">
        <w:rPr>
          <w:rFonts w:ascii="Times New Roman" w:hAnsi="Times New Roman" w:cs="Times New Roman"/>
          <w:i/>
          <w:sz w:val="24"/>
          <w:szCs w:val="24"/>
        </w:rPr>
        <w:t>p</w:t>
      </w:r>
      <w:r w:rsidR="001B013A" w:rsidRPr="001B013A">
        <w:rPr>
          <w:rFonts w:ascii="Times New Roman" w:hAnsi="Times New Roman" w:cs="Times New Roman"/>
          <w:sz w:val="24"/>
          <w:szCs w:val="24"/>
        </w:rPr>
        <w:t xml:space="preserve"> &lt; ,001</w:t>
      </w:r>
      <w:r w:rsidR="00A06018">
        <w:rPr>
          <w:rFonts w:ascii="Times New Roman" w:hAnsi="Times New Roman" w:cs="Times New Roman"/>
          <w:sz w:val="24"/>
          <w:szCs w:val="24"/>
        </w:rPr>
        <w:t>)</w:t>
      </w:r>
      <w:r w:rsidR="00CF1ED3">
        <w:rPr>
          <w:rFonts w:ascii="Times New Roman" w:hAnsi="Times New Roman" w:cs="Times New Roman"/>
          <w:sz w:val="24"/>
          <w:szCs w:val="24"/>
        </w:rPr>
        <w:t xml:space="preserve">. Finalmente, los pacientes atendidos en </w:t>
      </w:r>
      <w:proofErr w:type="spellStart"/>
      <w:r w:rsidR="00CF1ED3">
        <w:rPr>
          <w:rFonts w:ascii="Times New Roman" w:hAnsi="Times New Roman" w:cs="Times New Roman"/>
          <w:sz w:val="24"/>
          <w:szCs w:val="24"/>
        </w:rPr>
        <w:t>COSAMs</w:t>
      </w:r>
      <w:proofErr w:type="spellEnd"/>
      <w:r w:rsidR="00CF1ED3">
        <w:rPr>
          <w:rFonts w:ascii="Times New Roman" w:hAnsi="Times New Roman" w:cs="Times New Roman"/>
          <w:sz w:val="24"/>
          <w:szCs w:val="24"/>
        </w:rPr>
        <w:t xml:space="preserve"> presentaron mayores niveles de vulnerabilidad </w:t>
      </w:r>
      <w:r w:rsidR="00852F84">
        <w:rPr>
          <w:rFonts w:ascii="Times New Roman" w:hAnsi="Times New Roman" w:cs="Times New Roman"/>
          <w:sz w:val="24"/>
          <w:szCs w:val="24"/>
        </w:rPr>
        <w:t>en relación con</w:t>
      </w:r>
      <w:r w:rsidR="00CF1ED3">
        <w:rPr>
          <w:rFonts w:ascii="Times New Roman" w:hAnsi="Times New Roman" w:cs="Times New Roman"/>
          <w:sz w:val="24"/>
          <w:szCs w:val="24"/>
        </w:rPr>
        <w:t xml:space="preserve"> la estructura de la personalidad, encontrándose un mayor puntaje global en la escala del OPD-SQ.</w:t>
      </w:r>
    </w:p>
    <w:p w14:paraId="6CF997F0" w14:textId="77777777" w:rsidR="00750B03" w:rsidRDefault="00750B03" w:rsidP="0075678D">
      <w:pPr>
        <w:spacing w:after="0" w:line="360" w:lineRule="auto"/>
        <w:jc w:val="both"/>
        <w:rPr>
          <w:rFonts w:ascii="Times New Roman" w:hAnsi="Times New Roman" w:cs="Times New Roman"/>
          <w:sz w:val="24"/>
          <w:szCs w:val="24"/>
        </w:rPr>
      </w:pPr>
    </w:p>
    <w:p w14:paraId="02591570" w14:textId="0CF193FD" w:rsidR="00D4686E" w:rsidRPr="00750B03" w:rsidRDefault="00D4686E" w:rsidP="00D4686E">
      <w:pPr>
        <w:spacing w:after="0" w:line="240" w:lineRule="auto"/>
        <w:jc w:val="both"/>
        <w:rPr>
          <w:rFonts w:ascii="Times New Roman" w:hAnsi="Times New Roman" w:cs="Times New Roman"/>
          <w:b/>
          <w:sz w:val="20"/>
          <w:szCs w:val="20"/>
        </w:rPr>
      </w:pPr>
      <w:r w:rsidRPr="00750B03">
        <w:rPr>
          <w:rFonts w:ascii="Times New Roman" w:hAnsi="Times New Roman" w:cs="Times New Roman"/>
          <w:b/>
          <w:sz w:val="20"/>
          <w:szCs w:val="20"/>
        </w:rPr>
        <w:t xml:space="preserve">Tabla 3.1. </w:t>
      </w:r>
      <w:r w:rsidRPr="00750B03">
        <w:rPr>
          <w:rFonts w:ascii="Times New Roman" w:hAnsi="Times New Roman" w:cs="Times New Roman"/>
          <w:sz w:val="20"/>
          <w:szCs w:val="20"/>
        </w:rPr>
        <w:t xml:space="preserve">Comparación de las características sociodemográficas de pacientes depresivos atendidos en </w:t>
      </w:r>
      <w:proofErr w:type="spellStart"/>
      <w:r w:rsidRPr="00750B03">
        <w:rPr>
          <w:rFonts w:ascii="Times New Roman" w:hAnsi="Times New Roman" w:cs="Times New Roman"/>
          <w:sz w:val="20"/>
          <w:szCs w:val="20"/>
        </w:rPr>
        <w:t>COSAMs</w:t>
      </w:r>
      <w:proofErr w:type="spellEnd"/>
      <w:r w:rsidRPr="00750B03">
        <w:rPr>
          <w:rFonts w:ascii="Times New Roman" w:hAnsi="Times New Roman" w:cs="Times New Roman"/>
          <w:sz w:val="20"/>
          <w:szCs w:val="20"/>
        </w:rPr>
        <w:t xml:space="preserve"> y </w:t>
      </w:r>
      <w:r w:rsidR="00CF1ED3">
        <w:rPr>
          <w:rFonts w:ascii="Times New Roman" w:hAnsi="Times New Roman" w:cs="Times New Roman"/>
          <w:sz w:val="20"/>
          <w:szCs w:val="20"/>
        </w:rPr>
        <w:t>en Centros de Atención Universitarios.</w:t>
      </w:r>
    </w:p>
    <w:p w14:paraId="55FE62F9" w14:textId="1B27C69F" w:rsidR="00750B03" w:rsidRDefault="00750B03" w:rsidP="002B6696">
      <w:pPr>
        <w:spacing w:after="0" w:line="240" w:lineRule="auto"/>
        <w:jc w:val="both"/>
        <w:rPr>
          <w:rFonts w:ascii="Times New Roman" w:hAnsi="Times New Roman" w:cs="Times New Roman"/>
          <w:sz w:val="24"/>
          <w:szCs w:val="24"/>
        </w:rPr>
      </w:pPr>
    </w:p>
    <w:tbl>
      <w:tblPr>
        <w:tblW w:w="8360" w:type="dxa"/>
        <w:tblInd w:w="70" w:type="dxa"/>
        <w:tblCellMar>
          <w:left w:w="70" w:type="dxa"/>
          <w:right w:w="70" w:type="dxa"/>
        </w:tblCellMar>
        <w:tblLook w:val="04A0" w:firstRow="1" w:lastRow="0" w:firstColumn="1" w:lastColumn="0" w:noHBand="0" w:noVBand="1"/>
      </w:tblPr>
      <w:tblGrid>
        <w:gridCol w:w="2410"/>
        <w:gridCol w:w="2552"/>
        <w:gridCol w:w="1298"/>
        <w:gridCol w:w="2100"/>
      </w:tblGrid>
      <w:tr w:rsidR="001526AE" w:rsidRPr="001526AE" w14:paraId="24AC80CF" w14:textId="77777777" w:rsidTr="00230BBA">
        <w:trPr>
          <w:trHeight w:val="576"/>
        </w:trPr>
        <w:tc>
          <w:tcPr>
            <w:tcW w:w="2410" w:type="dxa"/>
            <w:tcBorders>
              <w:top w:val="nil"/>
              <w:left w:val="nil"/>
              <w:bottom w:val="single" w:sz="4" w:space="0" w:color="auto"/>
              <w:right w:val="nil"/>
            </w:tcBorders>
            <w:shd w:val="clear" w:color="auto" w:fill="auto"/>
            <w:noWrap/>
            <w:vAlign w:val="bottom"/>
            <w:hideMark/>
          </w:tcPr>
          <w:p w14:paraId="7B95790D" w14:textId="77777777" w:rsidR="001526AE" w:rsidRPr="001526AE" w:rsidRDefault="001526AE" w:rsidP="001526AE">
            <w:pPr>
              <w:spacing w:after="0" w:line="240" w:lineRule="auto"/>
              <w:rPr>
                <w:rFonts w:ascii="Times New Roman" w:eastAsia="Times New Roman" w:hAnsi="Times New Roman" w:cs="Times New Roman"/>
                <w:color w:val="000000"/>
                <w:lang w:eastAsia="es-CL"/>
              </w:rPr>
            </w:pPr>
            <w:r w:rsidRPr="001526AE">
              <w:rPr>
                <w:rFonts w:ascii="Times New Roman" w:eastAsia="Times New Roman" w:hAnsi="Times New Roman" w:cs="Times New Roman"/>
                <w:color w:val="000000"/>
                <w:lang w:eastAsia="es-CL"/>
              </w:rPr>
              <w:t> </w:t>
            </w:r>
          </w:p>
        </w:tc>
        <w:tc>
          <w:tcPr>
            <w:tcW w:w="2552" w:type="dxa"/>
            <w:tcBorders>
              <w:top w:val="nil"/>
              <w:left w:val="nil"/>
              <w:bottom w:val="single" w:sz="4" w:space="0" w:color="auto"/>
              <w:right w:val="nil"/>
            </w:tcBorders>
            <w:shd w:val="clear" w:color="auto" w:fill="auto"/>
            <w:noWrap/>
            <w:vAlign w:val="bottom"/>
            <w:hideMark/>
          </w:tcPr>
          <w:p w14:paraId="3051D498" w14:textId="77777777" w:rsidR="001526AE" w:rsidRPr="001526AE" w:rsidRDefault="001526AE" w:rsidP="001526AE">
            <w:pPr>
              <w:spacing w:after="0" w:line="240" w:lineRule="auto"/>
              <w:rPr>
                <w:rFonts w:ascii="Times New Roman" w:eastAsia="Times New Roman" w:hAnsi="Times New Roman" w:cs="Times New Roman"/>
                <w:color w:val="000000"/>
                <w:lang w:eastAsia="es-CL"/>
              </w:rPr>
            </w:pPr>
            <w:r w:rsidRPr="001526AE">
              <w:rPr>
                <w:rFonts w:ascii="Times New Roman" w:eastAsia="Times New Roman" w:hAnsi="Times New Roman" w:cs="Times New Roman"/>
                <w:color w:val="000000"/>
                <w:lang w:eastAsia="es-CL"/>
              </w:rPr>
              <w:t> </w:t>
            </w:r>
          </w:p>
        </w:tc>
        <w:tc>
          <w:tcPr>
            <w:tcW w:w="1298" w:type="dxa"/>
            <w:tcBorders>
              <w:top w:val="single" w:sz="4" w:space="0" w:color="auto"/>
              <w:left w:val="nil"/>
              <w:bottom w:val="single" w:sz="4" w:space="0" w:color="auto"/>
              <w:right w:val="nil"/>
            </w:tcBorders>
            <w:shd w:val="clear" w:color="auto" w:fill="auto"/>
            <w:vAlign w:val="center"/>
            <w:hideMark/>
          </w:tcPr>
          <w:p w14:paraId="4E55A236" w14:textId="77777777" w:rsidR="001526AE" w:rsidRPr="001526AE" w:rsidRDefault="001526AE" w:rsidP="001526AE">
            <w:pPr>
              <w:spacing w:after="0" w:line="240" w:lineRule="auto"/>
              <w:jc w:val="center"/>
              <w:rPr>
                <w:rFonts w:ascii="Times New Roman" w:eastAsia="Times New Roman" w:hAnsi="Times New Roman" w:cs="Times New Roman"/>
                <w:color w:val="000000"/>
                <w:lang w:eastAsia="es-CL"/>
              </w:rPr>
            </w:pPr>
            <w:proofErr w:type="spellStart"/>
            <w:r w:rsidRPr="001526AE">
              <w:rPr>
                <w:rFonts w:ascii="Times New Roman" w:eastAsia="Times New Roman" w:hAnsi="Times New Roman" w:cs="Times New Roman"/>
                <w:color w:val="000000"/>
                <w:lang w:eastAsia="es-CL"/>
              </w:rPr>
              <w:t>COSAMs</w:t>
            </w:r>
            <w:proofErr w:type="spellEnd"/>
          </w:p>
        </w:tc>
        <w:tc>
          <w:tcPr>
            <w:tcW w:w="2100" w:type="dxa"/>
            <w:tcBorders>
              <w:top w:val="single" w:sz="4" w:space="0" w:color="auto"/>
              <w:left w:val="nil"/>
              <w:bottom w:val="single" w:sz="4" w:space="0" w:color="auto"/>
              <w:right w:val="nil"/>
            </w:tcBorders>
            <w:shd w:val="clear" w:color="auto" w:fill="auto"/>
            <w:vAlign w:val="center"/>
            <w:hideMark/>
          </w:tcPr>
          <w:p w14:paraId="463CC709" w14:textId="77777777" w:rsidR="001526AE" w:rsidRPr="001526AE" w:rsidRDefault="001526AE" w:rsidP="001526AE">
            <w:pPr>
              <w:spacing w:after="0" w:line="240" w:lineRule="auto"/>
              <w:jc w:val="center"/>
              <w:rPr>
                <w:rFonts w:ascii="Times New Roman" w:eastAsia="Times New Roman" w:hAnsi="Times New Roman" w:cs="Times New Roman"/>
                <w:color w:val="000000"/>
                <w:lang w:eastAsia="es-CL"/>
              </w:rPr>
            </w:pPr>
            <w:r w:rsidRPr="001526AE">
              <w:rPr>
                <w:rFonts w:ascii="Times New Roman" w:eastAsia="Times New Roman" w:hAnsi="Times New Roman" w:cs="Times New Roman"/>
                <w:color w:val="000000"/>
                <w:lang w:eastAsia="es-CL"/>
              </w:rPr>
              <w:t>Centros de Atención Universitarios</w:t>
            </w:r>
          </w:p>
        </w:tc>
      </w:tr>
      <w:tr w:rsidR="001526AE" w:rsidRPr="001526AE" w14:paraId="7F12AD8E" w14:textId="77777777" w:rsidTr="00230BBA">
        <w:trPr>
          <w:trHeight w:val="288"/>
        </w:trPr>
        <w:tc>
          <w:tcPr>
            <w:tcW w:w="2410" w:type="dxa"/>
            <w:tcBorders>
              <w:top w:val="nil"/>
              <w:left w:val="nil"/>
              <w:bottom w:val="nil"/>
              <w:right w:val="nil"/>
            </w:tcBorders>
            <w:shd w:val="clear" w:color="auto" w:fill="auto"/>
            <w:noWrap/>
            <w:vAlign w:val="bottom"/>
            <w:hideMark/>
          </w:tcPr>
          <w:p w14:paraId="08D64531" w14:textId="77777777" w:rsidR="001526AE" w:rsidRPr="001526AE" w:rsidRDefault="001526AE" w:rsidP="001526AE">
            <w:pPr>
              <w:spacing w:after="0" w:line="240" w:lineRule="auto"/>
              <w:rPr>
                <w:rFonts w:ascii="Times New Roman" w:eastAsia="Times New Roman" w:hAnsi="Times New Roman" w:cs="Times New Roman"/>
                <w:color w:val="000000"/>
                <w:lang w:eastAsia="es-CL"/>
              </w:rPr>
            </w:pPr>
            <w:r w:rsidRPr="001526AE">
              <w:rPr>
                <w:rFonts w:ascii="Times New Roman" w:eastAsia="Times New Roman" w:hAnsi="Times New Roman" w:cs="Times New Roman"/>
                <w:color w:val="000000"/>
                <w:lang w:eastAsia="es-CL"/>
              </w:rPr>
              <w:t>Edad [Media (DS)]</w:t>
            </w:r>
          </w:p>
        </w:tc>
        <w:tc>
          <w:tcPr>
            <w:tcW w:w="2552" w:type="dxa"/>
            <w:tcBorders>
              <w:top w:val="nil"/>
              <w:left w:val="nil"/>
              <w:bottom w:val="nil"/>
              <w:right w:val="nil"/>
            </w:tcBorders>
            <w:shd w:val="clear" w:color="auto" w:fill="auto"/>
            <w:noWrap/>
            <w:vAlign w:val="bottom"/>
            <w:hideMark/>
          </w:tcPr>
          <w:p w14:paraId="1F2920ED" w14:textId="77777777" w:rsidR="001526AE" w:rsidRPr="001526AE" w:rsidRDefault="001526AE" w:rsidP="001526AE">
            <w:pPr>
              <w:spacing w:after="0" w:line="240" w:lineRule="auto"/>
              <w:rPr>
                <w:rFonts w:ascii="Times New Roman" w:eastAsia="Times New Roman" w:hAnsi="Times New Roman" w:cs="Times New Roman"/>
                <w:color w:val="000000"/>
                <w:lang w:eastAsia="es-CL"/>
              </w:rPr>
            </w:pPr>
          </w:p>
        </w:tc>
        <w:tc>
          <w:tcPr>
            <w:tcW w:w="1298" w:type="dxa"/>
            <w:tcBorders>
              <w:top w:val="nil"/>
              <w:left w:val="nil"/>
              <w:bottom w:val="nil"/>
              <w:right w:val="nil"/>
            </w:tcBorders>
            <w:shd w:val="clear" w:color="auto" w:fill="auto"/>
            <w:noWrap/>
            <w:vAlign w:val="bottom"/>
            <w:hideMark/>
          </w:tcPr>
          <w:p w14:paraId="07E0D973" w14:textId="77777777" w:rsidR="001526AE" w:rsidRPr="001526AE" w:rsidRDefault="001526AE" w:rsidP="001526AE">
            <w:pPr>
              <w:spacing w:after="0" w:line="240" w:lineRule="auto"/>
              <w:jc w:val="center"/>
              <w:rPr>
                <w:rFonts w:ascii="Times New Roman" w:eastAsia="Times New Roman" w:hAnsi="Times New Roman" w:cs="Times New Roman"/>
                <w:color w:val="000000"/>
                <w:lang w:eastAsia="es-CL"/>
              </w:rPr>
            </w:pPr>
            <w:r w:rsidRPr="001526AE">
              <w:rPr>
                <w:rFonts w:ascii="Times New Roman" w:eastAsia="Times New Roman" w:hAnsi="Times New Roman" w:cs="Times New Roman"/>
                <w:color w:val="000000"/>
                <w:lang w:eastAsia="es-CL"/>
              </w:rPr>
              <w:t>46,7 (13,8)</w:t>
            </w:r>
          </w:p>
        </w:tc>
        <w:tc>
          <w:tcPr>
            <w:tcW w:w="2100" w:type="dxa"/>
            <w:tcBorders>
              <w:top w:val="nil"/>
              <w:left w:val="nil"/>
              <w:bottom w:val="nil"/>
              <w:right w:val="nil"/>
            </w:tcBorders>
            <w:shd w:val="clear" w:color="auto" w:fill="auto"/>
            <w:noWrap/>
            <w:vAlign w:val="bottom"/>
            <w:hideMark/>
          </w:tcPr>
          <w:p w14:paraId="5802D0D7" w14:textId="77777777" w:rsidR="001526AE" w:rsidRPr="001526AE" w:rsidRDefault="001526AE" w:rsidP="001526AE">
            <w:pPr>
              <w:spacing w:after="0" w:line="240" w:lineRule="auto"/>
              <w:jc w:val="center"/>
              <w:rPr>
                <w:rFonts w:ascii="Times New Roman" w:eastAsia="Times New Roman" w:hAnsi="Times New Roman" w:cs="Times New Roman"/>
                <w:color w:val="000000"/>
                <w:lang w:eastAsia="es-CL"/>
              </w:rPr>
            </w:pPr>
            <w:r w:rsidRPr="001526AE">
              <w:rPr>
                <w:rFonts w:ascii="Times New Roman" w:eastAsia="Times New Roman" w:hAnsi="Times New Roman" w:cs="Times New Roman"/>
                <w:color w:val="000000"/>
                <w:lang w:eastAsia="es-CL"/>
              </w:rPr>
              <w:t>31,1 (11,1)</w:t>
            </w:r>
          </w:p>
        </w:tc>
      </w:tr>
      <w:tr w:rsidR="001526AE" w:rsidRPr="001526AE" w14:paraId="0E3C6CC0" w14:textId="77777777" w:rsidTr="00230BBA">
        <w:trPr>
          <w:trHeight w:val="288"/>
        </w:trPr>
        <w:tc>
          <w:tcPr>
            <w:tcW w:w="2410" w:type="dxa"/>
            <w:tcBorders>
              <w:top w:val="nil"/>
              <w:left w:val="nil"/>
              <w:bottom w:val="nil"/>
              <w:right w:val="nil"/>
            </w:tcBorders>
            <w:shd w:val="clear" w:color="auto" w:fill="auto"/>
            <w:noWrap/>
            <w:vAlign w:val="bottom"/>
            <w:hideMark/>
          </w:tcPr>
          <w:p w14:paraId="0A991E8B" w14:textId="77777777" w:rsidR="001526AE" w:rsidRPr="001526AE" w:rsidRDefault="001526AE" w:rsidP="001526AE">
            <w:pPr>
              <w:spacing w:after="0" w:line="240" w:lineRule="auto"/>
              <w:rPr>
                <w:rFonts w:ascii="Times New Roman" w:eastAsia="Times New Roman" w:hAnsi="Times New Roman" w:cs="Times New Roman"/>
                <w:color w:val="000000"/>
                <w:lang w:eastAsia="es-CL"/>
              </w:rPr>
            </w:pPr>
            <w:r w:rsidRPr="001526AE">
              <w:rPr>
                <w:rFonts w:ascii="Times New Roman" w:eastAsia="Times New Roman" w:hAnsi="Times New Roman" w:cs="Times New Roman"/>
                <w:color w:val="000000"/>
                <w:lang w:eastAsia="es-CL"/>
              </w:rPr>
              <w:lastRenderedPageBreak/>
              <w:t>Mujeres [%]</w:t>
            </w:r>
          </w:p>
        </w:tc>
        <w:tc>
          <w:tcPr>
            <w:tcW w:w="2552" w:type="dxa"/>
            <w:tcBorders>
              <w:top w:val="nil"/>
              <w:left w:val="nil"/>
              <w:bottom w:val="nil"/>
              <w:right w:val="nil"/>
            </w:tcBorders>
            <w:shd w:val="clear" w:color="auto" w:fill="auto"/>
            <w:noWrap/>
            <w:vAlign w:val="bottom"/>
            <w:hideMark/>
          </w:tcPr>
          <w:p w14:paraId="2F357B03" w14:textId="77777777" w:rsidR="001526AE" w:rsidRPr="001526AE" w:rsidRDefault="001526AE" w:rsidP="001526AE">
            <w:pPr>
              <w:spacing w:after="0" w:line="240" w:lineRule="auto"/>
              <w:rPr>
                <w:rFonts w:ascii="Times New Roman" w:eastAsia="Times New Roman" w:hAnsi="Times New Roman" w:cs="Times New Roman"/>
                <w:color w:val="000000"/>
                <w:lang w:eastAsia="es-CL"/>
              </w:rPr>
            </w:pPr>
          </w:p>
        </w:tc>
        <w:tc>
          <w:tcPr>
            <w:tcW w:w="1298" w:type="dxa"/>
            <w:tcBorders>
              <w:top w:val="nil"/>
              <w:left w:val="nil"/>
              <w:bottom w:val="nil"/>
              <w:right w:val="nil"/>
            </w:tcBorders>
            <w:shd w:val="clear" w:color="auto" w:fill="auto"/>
            <w:noWrap/>
            <w:vAlign w:val="bottom"/>
            <w:hideMark/>
          </w:tcPr>
          <w:p w14:paraId="31BCE4A1" w14:textId="77777777" w:rsidR="001526AE" w:rsidRPr="001526AE" w:rsidRDefault="001526AE" w:rsidP="001526AE">
            <w:pPr>
              <w:spacing w:after="0" w:line="240" w:lineRule="auto"/>
              <w:jc w:val="center"/>
              <w:rPr>
                <w:rFonts w:ascii="Times New Roman" w:eastAsia="Times New Roman" w:hAnsi="Times New Roman" w:cs="Times New Roman"/>
                <w:color w:val="000000"/>
                <w:lang w:eastAsia="es-CL"/>
              </w:rPr>
            </w:pPr>
            <w:r w:rsidRPr="001526AE">
              <w:rPr>
                <w:rFonts w:ascii="Times New Roman" w:eastAsia="Times New Roman" w:hAnsi="Times New Roman" w:cs="Times New Roman"/>
                <w:color w:val="000000"/>
                <w:lang w:eastAsia="es-CL"/>
              </w:rPr>
              <w:t>91,4</w:t>
            </w:r>
          </w:p>
        </w:tc>
        <w:tc>
          <w:tcPr>
            <w:tcW w:w="2100" w:type="dxa"/>
            <w:tcBorders>
              <w:top w:val="nil"/>
              <w:left w:val="nil"/>
              <w:bottom w:val="nil"/>
              <w:right w:val="nil"/>
            </w:tcBorders>
            <w:shd w:val="clear" w:color="auto" w:fill="auto"/>
            <w:noWrap/>
            <w:vAlign w:val="bottom"/>
            <w:hideMark/>
          </w:tcPr>
          <w:p w14:paraId="369BB35B" w14:textId="77777777" w:rsidR="001526AE" w:rsidRPr="001526AE" w:rsidRDefault="001526AE" w:rsidP="001526AE">
            <w:pPr>
              <w:spacing w:after="0" w:line="240" w:lineRule="auto"/>
              <w:jc w:val="center"/>
              <w:rPr>
                <w:rFonts w:ascii="Times New Roman" w:eastAsia="Times New Roman" w:hAnsi="Times New Roman" w:cs="Times New Roman"/>
                <w:color w:val="000000"/>
                <w:lang w:eastAsia="es-CL"/>
              </w:rPr>
            </w:pPr>
            <w:r w:rsidRPr="001526AE">
              <w:rPr>
                <w:rFonts w:ascii="Times New Roman" w:eastAsia="Times New Roman" w:hAnsi="Times New Roman" w:cs="Times New Roman"/>
                <w:color w:val="000000"/>
                <w:lang w:eastAsia="es-CL"/>
              </w:rPr>
              <w:t>74,8</w:t>
            </w:r>
          </w:p>
        </w:tc>
      </w:tr>
      <w:tr w:rsidR="001526AE" w:rsidRPr="001526AE" w14:paraId="252716B7" w14:textId="77777777" w:rsidTr="00230BBA">
        <w:trPr>
          <w:trHeight w:val="288"/>
        </w:trPr>
        <w:tc>
          <w:tcPr>
            <w:tcW w:w="2410" w:type="dxa"/>
            <w:tcBorders>
              <w:top w:val="nil"/>
              <w:left w:val="nil"/>
              <w:bottom w:val="nil"/>
              <w:right w:val="nil"/>
            </w:tcBorders>
            <w:shd w:val="clear" w:color="auto" w:fill="auto"/>
            <w:noWrap/>
            <w:vAlign w:val="bottom"/>
            <w:hideMark/>
          </w:tcPr>
          <w:p w14:paraId="3F24A830" w14:textId="77777777" w:rsidR="001526AE" w:rsidRPr="001526AE" w:rsidRDefault="001526AE" w:rsidP="001526AE">
            <w:pPr>
              <w:spacing w:after="0" w:line="240" w:lineRule="auto"/>
              <w:rPr>
                <w:rFonts w:ascii="Times New Roman" w:eastAsia="Times New Roman" w:hAnsi="Times New Roman" w:cs="Times New Roman"/>
                <w:color w:val="000000"/>
                <w:lang w:eastAsia="es-CL"/>
              </w:rPr>
            </w:pPr>
            <w:r w:rsidRPr="001526AE">
              <w:rPr>
                <w:rFonts w:ascii="Times New Roman" w:eastAsia="Times New Roman" w:hAnsi="Times New Roman" w:cs="Times New Roman"/>
                <w:color w:val="000000"/>
                <w:lang w:eastAsia="es-CL"/>
              </w:rPr>
              <w:t>Escolaridad [%]</w:t>
            </w:r>
          </w:p>
        </w:tc>
        <w:tc>
          <w:tcPr>
            <w:tcW w:w="2552" w:type="dxa"/>
            <w:tcBorders>
              <w:top w:val="nil"/>
              <w:left w:val="nil"/>
              <w:bottom w:val="nil"/>
              <w:right w:val="nil"/>
            </w:tcBorders>
            <w:shd w:val="clear" w:color="auto" w:fill="auto"/>
            <w:noWrap/>
            <w:vAlign w:val="bottom"/>
            <w:hideMark/>
          </w:tcPr>
          <w:p w14:paraId="7C551A3E" w14:textId="77777777" w:rsidR="001526AE" w:rsidRPr="001526AE" w:rsidRDefault="001526AE" w:rsidP="001526AE">
            <w:pPr>
              <w:spacing w:after="0" w:line="240" w:lineRule="auto"/>
              <w:rPr>
                <w:rFonts w:ascii="Times New Roman" w:eastAsia="Times New Roman" w:hAnsi="Times New Roman" w:cs="Times New Roman"/>
                <w:color w:val="000000"/>
                <w:lang w:eastAsia="es-CL"/>
              </w:rPr>
            </w:pPr>
          </w:p>
        </w:tc>
        <w:tc>
          <w:tcPr>
            <w:tcW w:w="1298" w:type="dxa"/>
            <w:tcBorders>
              <w:top w:val="nil"/>
              <w:left w:val="nil"/>
              <w:bottom w:val="nil"/>
              <w:right w:val="nil"/>
            </w:tcBorders>
            <w:shd w:val="clear" w:color="auto" w:fill="auto"/>
            <w:noWrap/>
            <w:vAlign w:val="bottom"/>
            <w:hideMark/>
          </w:tcPr>
          <w:p w14:paraId="67DCB06F" w14:textId="77777777" w:rsidR="001526AE" w:rsidRPr="001526AE" w:rsidRDefault="001526AE" w:rsidP="001526AE">
            <w:pPr>
              <w:spacing w:after="0" w:line="240" w:lineRule="auto"/>
              <w:rPr>
                <w:rFonts w:ascii="Times New Roman" w:eastAsia="Times New Roman" w:hAnsi="Times New Roman" w:cs="Times New Roman"/>
                <w:sz w:val="20"/>
                <w:szCs w:val="20"/>
                <w:lang w:eastAsia="es-CL"/>
              </w:rPr>
            </w:pPr>
          </w:p>
        </w:tc>
        <w:tc>
          <w:tcPr>
            <w:tcW w:w="2100" w:type="dxa"/>
            <w:tcBorders>
              <w:top w:val="nil"/>
              <w:left w:val="nil"/>
              <w:bottom w:val="nil"/>
              <w:right w:val="nil"/>
            </w:tcBorders>
            <w:shd w:val="clear" w:color="auto" w:fill="auto"/>
            <w:noWrap/>
            <w:vAlign w:val="bottom"/>
            <w:hideMark/>
          </w:tcPr>
          <w:p w14:paraId="18699287" w14:textId="77777777" w:rsidR="001526AE" w:rsidRPr="001526AE" w:rsidRDefault="001526AE" w:rsidP="001526AE">
            <w:pPr>
              <w:spacing w:after="0" w:line="240" w:lineRule="auto"/>
              <w:jc w:val="center"/>
              <w:rPr>
                <w:rFonts w:ascii="Times New Roman" w:eastAsia="Times New Roman" w:hAnsi="Times New Roman" w:cs="Times New Roman"/>
                <w:sz w:val="20"/>
                <w:szCs w:val="20"/>
                <w:lang w:eastAsia="es-CL"/>
              </w:rPr>
            </w:pPr>
          </w:p>
        </w:tc>
      </w:tr>
      <w:tr w:rsidR="001526AE" w:rsidRPr="001526AE" w14:paraId="0953076F" w14:textId="77777777" w:rsidTr="00230BBA">
        <w:trPr>
          <w:trHeight w:val="288"/>
        </w:trPr>
        <w:tc>
          <w:tcPr>
            <w:tcW w:w="2410" w:type="dxa"/>
            <w:tcBorders>
              <w:top w:val="nil"/>
              <w:left w:val="nil"/>
              <w:bottom w:val="nil"/>
              <w:right w:val="nil"/>
            </w:tcBorders>
            <w:shd w:val="clear" w:color="auto" w:fill="auto"/>
            <w:noWrap/>
            <w:vAlign w:val="bottom"/>
            <w:hideMark/>
          </w:tcPr>
          <w:p w14:paraId="679F43DE" w14:textId="77777777" w:rsidR="001526AE" w:rsidRPr="001526AE" w:rsidRDefault="001526AE" w:rsidP="001526AE">
            <w:pPr>
              <w:spacing w:after="0" w:line="240" w:lineRule="auto"/>
              <w:jc w:val="center"/>
              <w:rPr>
                <w:rFonts w:ascii="Times New Roman" w:eastAsia="Times New Roman" w:hAnsi="Times New Roman" w:cs="Times New Roman"/>
                <w:sz w:val="20"/>
                <w:szCs w:val="20"/>
                <w:lang w:eastAsia="es-CL"/>
              </w:rPr>
            </w:pPr>
          </w:p>
        </w:tc>
        <w:tc>
          <w:tcPr>
            <w:tcW w:w="2552" w:type="dxa"/>
            <w:tcBorders>
              <w:top w:val="nil"/>
              <w:left w:val="nil"/>
              <w:bottom w:val="nil"/>
              <w:right w:val="nil"/>
            </w:tcBorders>
            <w:shd w:val="clear" w:color="auto" w:fill="auto"/>
            <w:noWrap/>
            <w:vAlign w:val="bottom"/>
            <w:hideMark/>
          </w:tcPr>
          <w:p w14:paraId="63FB903C" w14:textId="77777777" w:rsidR="001526AE" w:rsidRPr="001526AE" w:rsidRDefault="001526AE" w:rsidP="001526AE">
            <w:pPr>
              <w:spacing w:after="0" w:line="240" w:lineRule="auto"/>
              <w:rPr>
                <w:rFonts w:ascii="Times New Roman" w:eastAsia="Times New Roman" w:hAnsi="Times New Roman" w:cs="Times New Roman"/>
                <w:color w:val="000000"/>
                <w:lang w:eastAsia="es-CL"/>
              </w:rPr>
            </w:pPr>
            <w:r w:rsidRPr="001526AE">
              <w:rPr>
                <w:rFonts w:ascii="Times New Roman" w:eastAsia="Times New Roman" w:hAnsi="Times New Roman" w:cs="Times New Roman"/>
                <w:color w:val="000000"/>
                <w:lang w:eastAsia="es-CL"/>
              </w:rPr>
              <w:t>Básica Incompleta</w:t>
            </w:r>
          </w:p>
        </w:tc>
        <w:tc>
          <w:tcPr>
            <w:tcW w:w="1298" w:type="dxa"/>
            <w:tcBorders>
              <w:top w:val="nil"/>
              <w:left w:val="nil"/>
              <w:bottom w:val="nil"/>
              <w:right w:val="nil"/>
            </w:tcBorders>
            <w:shd w:val="clear" w:color="auto" w:fill="auto"/>
            <w:noWrap/>
            <w:vAlign w:val="bottom"/>
            <w:hideMark/>
          </w:tcPr>
          <w:p w14:paraId="44D93FEA" w14:textId="77777777" w:rsidR="001526AE" w:rsidRPr="001526AE" w:rsidRDefault="001526AE" w:rsidP="001526AE">
            <w:pPr>
              <w:spacing w:after="0" w:line="240" w:lineRule="auto"/>
              <w:jc w:val="center"/>
              <w:rPr>
                <w:rFonts w:ascii="Times New Roman" w:eastAsia="Times New Roman" w:hAnsi="Times New Roman" w:cs="Times New Roman"/>
                <w:color w:val="000000"/>
                <w:lang w:eastAsia="es-CL"/>
              </w:rPr>
            </w:pPr>
            <w:r w:rsidRPr="001526AE">
              <w:rPr>
                <w:rFonts w:ascii="Times New Roman" w:eastAsia="Times New Roman" w:hAnsi="Times New Roman" w:cs="Times New Roman"/>
                <w:color w:val="000000"/>
                <w:lang w:eastAsia="es-CL"/>
              </w:rPr>
              <w:t>5,7</w:t>
            </w:r>
          </w:p>
        </w:tc>
        <w:tc>
          <w:tcPr>
            <w:tcW w:w="2100" w:type="dxa"/>
            <w:tcBorders>
              <w:top w:val="nil"/>
              <w:left w:val="nil"/>
              <w:bottom w:val="nil"/>
              <w:right w:val="nil"/>
            </w:tcBorders>
            <w:shd w:val="clear" w:color="auto" w:fill="auto"/>
            <w:noWrap/>
            <w:vAlign w:val="bottom"/>
            <w:hideMark/>
          </w:tcPr>
          <w:p w14:paraId="5D75BFFC" w14:textId="77777777" w:rsidR="001526AE" w:rsidRPr="001526AE" w:rsidRDefault="001526AE" w:rsidP="001526AE">
            <w:pPr>
              <w:spacing w:after="0" w:line="240" w:lineRule="auto"/>
              <w:jc w:val="center"/>
              <w:rPr>
                <w:rFonts w:ascii="Times New Roman" w:eastAsia="Times New Roman" w:hAnsi="Times New Roman" w:cs="Times New Roman"/>
                <w:color w:val="000000"/>
                <w:lang w:eastAsia="es-CL"/>
              </w:rPr>
            </w:pPr>
            <w:r w:rsidRPr="001526AE">
              <w:rPr>
                <w:rFonts w:ascii="Times New Roman" w:eastAsia="Times New Roman" w:hAnsi="Times New Roman" w:cs="Times New Roman"/>
                <w:color w:val="000000"/>
                <w:lang w:eastAsia="es-CL"/>
              </w:rPr>
              <w:t>1</w:t>
            </w:r>
          </w:p>
        </w:tc>
      </w:tr>
      <w:tr w:rsidR="001526AE" w:rsidRPr="001526AE" w14:paraId="6F5295DC" w14:textId="77777777" w:rsidTr="00230BBA">
        <w:trPr>
          <w:trHeight w:val="288"/>
        </w:trPr>
        <w:tc>
          <w:tcPr>
            <w:tcW w:w="2410" w:type="dxa"/>
            <w:tcBorders>
              <w:top w:val="nil"/>
              <w:left w:val="nil"/>
              <w:bottom w:val="nil"/>
              <w:right w:val="nil"/>
            </w:tcBorders>
            <w:shd w:val="clear" w:color="auto" w:fill="auto"/>
            <w:noWrap/>
            <w:vAlign w:val="bottom"/>
            <w:hideMark/>
          </w:tcPr>
          <w:p w14:paraId="5150DB7B" w14:textId="77777777" w:rsidR="001526AE" w:rsidRPr="001526AE" w:rsidRDefault="001526AE" w:rsidP="001526AE">
            <w:pPr>
              <w:spacing w:after="0" w:line="240" w:lineRule="auto"/>
              <w:jc w:val="center"/>
              <w:rPr>
                <w:rFonts w:ascii="Times New Roman" w:eastAsia="Times New Roman" w:hAnsi="Times New Roman" w:cs="Times New Roman"/>
                <w:color w:val="000000"/>
                <w:lang w:eastAsia="es-CL"/>
              </w:rPr>
            </w:pPr>
          </w:p>
        </w:tc>
        <w:tc>
          <w:tcPr>
            <w:tcW w:w="2552" w:type="dxa"/>
            <w:tcBorders>
              <w:top w:val="nil"/>
              <w:left w:val="nil"/>
              <w:bottom w:val="nil"/>
              <w:right w:val="nil"/>
            </w:tcBorders>
            <w:shd w:val="clear" w:color="auto" w:fill="auto"/>
            <w:noWrap/>
            <w:vAlign w:val="bottom"/>
            <w:hideMark/>
          </w:tcPr>
          <w:p w14:paraId="2600D354" w14:textId="77777777" w:rsidR="001526AE" w:rsidRPr="001526AE" w:rsidRDefault="001526AE" w:rsidP="001526AE">
            <w:pPr>
              <w:spacing w:after="0" w:line="240" w:lineRule="auto"/>
              <w:rPr>
                <w:rFonts w:ascii="Times New Roman" w:eastAsia="Times New Roman" w:hAnsi="Times New Roman" w:cs="Times New Roman"/>
                <w:color w:val="000000"/>
                <w:lang w:eastAsia="es-CL"/>
              </w:rPr>
            </w:pPr>
            <w:r w:rsidRPr="001526AE">
              <w:rPr>
                <w:rFonts w:ascii="Times New Roman" w:eastAsia="Times New Roman" w:hAnsi="Times New Roman" w:cs="Times New Roman"/>
                <w:color w:val="000000"/>
                <w:lang w:eastAsia="es-CL"/>
              </w:rPr>
              <w:t>Básica Completa</w:t>
            </w:r>
          </w:p>
        </w:tc>
        <w:tc>
          <w:tcPr>
            <w:tcW w:w="1298" w:type="dxa"/>
            <w:tcBorders>
              <w:top w:val="nil"/>
              <w:left w:val="nil"/>
              <w:bottom w:val="nil"/>
              <w:right w:val="nil"/>
            </w:tcBorders>
            <w:shd w:val="clear" w:color="auto" w:fill="auto"/>
            <w:noWrap/>
            <w:vAlign w:val="bottom"/>
            <w:hideMark/>
          </w:tcPr>
          <w:p w14:paraId="08B80899" w14:textId="77777777" w:rsidR="001526AE" w:rsidRPr="001526AE" w:rsidRDefault="001526AE" w:rsidP="001526AE">
            <w:pPr>
              <w:spacing w:after="0" w:line="240" w:lineRule="auto"/>
              <w:jc w:val="center"/>
              <w:rPr>
                <w:rFonts w:ascii="Times New Roman" w:eastAsia="Times New Roman" w:hAnsi="Times New Roman" w:cs="Times New Roman"/>
                <w:color w:val="000000"/>
                <w:lang w:eastAsia="es-CL"/>
              </w:rPr>
            </w:pPr>
            <w:r w:rsidRPr="001526AE">
              <w:rPr>
                <w:rFonts w:ascii="Times New Roman" w:eastAsia="Times New Roman" w:hAnsi="Times New Roman" w:cs="Times New Roman"/>
                <w:color w:val="000000"/>
                <w:lang w:eastAsia="es-CL"/>
              </w:rPr>
              <w:t>7,1</w:t>
            </w:r>
          </w:p>
        </w:tc>
        <w:tc>
          <w:tcPr>
            <w:tcW w:w="2100" w:type="dxa"/>
            <w:tcBorders>
              <w:top w:val="nil"/>
              <w:left w:val="nil"/>
              <w:bottom w:val="nil"/>
              <w:right w:val="nil"/>
            </w:tcBorders>
            <w:shd w:val="clear" w:color="auto" w:fill="auto"/>
            <w:noWrap/>
            <w:vAlign w:val="bottom"/>
            <w:hideMark/>
          </w:tcPr>
          <w:p w14:paraId="172E8936" w14:textId="77777777" w:rsidR="001526AE" w:rsidRPr="001526AE" w:rsidRDefault="001526AE" w:rsidP="001526AE">
            <w:pPr>
              <w:spacing w:after="0" w:line="240" w:lineRule="auto"/>
              <w:jc w:val="center"/>
              <w:rPr>
                <w:rFonts w:ascii="Times New Roman" w:eastAsia="Times New Roman" w:hAnsi="Times New Roman" w:cs="Times New Roman"/>
                <w:color w:val="000000"/>
                <w:lang w:eastAsia="es-CL"/>
              </w:rPr>
            </w:pPr>
            <w:r w:rsidRPr="001526AE">
              <w:rPr>
                <w:rFonts w:ascii="Times New Roman" w:eastAsia="Times New Roman" w:hAnsi="Times New Roman" w:cs="Times New Roman"/>
                <w:color w:val="000000"/>
                <w:lang w:eastAsia="es-CL"/>
              </w:rPr>
              <w:t>-</w:t>
            </w:r>
          </w:p>
        </w:tc>
      </w:tr>
      <w:tr w:rsidR="001526AE" w:rsidRPr="001526AE" w14:paraId="60FB6B38" w14:textId="77777777" w:rsidTr="00230BBA">
        <w:trPr>
          <w:trHeight w:val="288"/>
        </w:trPr>
        <w:tc>
          <w:tcPr>
            <w:tcW w:w="2410" w:type="dxa"/>
            <w:tcBorders>
              <w:top w:val="nil"/>
              <w:left w:val="nil"/>
              <w:bottom w:val="nil"/>
              <w:right w:val="nil"/>
            </w:tcBorders>
            <w:shd w:val="clear" w:color="auto" w:fill="auto"/>
            <w:noWrap/>
            <w:vAlign w:val="bottom"/>
            <w:hideMark/>
          </w:tcPr>
          <w:p w14:paraId="4E4C106F" w14:textId="77777777" w:rsidR="001526AE" w:rsidRPr="001526AE" w:rsidRDefault="001526AE" w:rsidP="001526AE">
            <w:pPr>
              <w:spacing w:after="0" w:line="240" w:lineRule="auto"/>
              <w:jc w:val="center"/>
              <w:rPr>
                <w:rFonts w:ascii="Times New Roman" w:eastAsia="Times New Roman" w:hAnsi="Times New Roman" w:cs="Times New Roman"/>
                <w:color w:val="000000"/>
                <w:lang w:eastAsia="es-CL"/>
              </w:rPr>
            </w:pPr>
          </w:p>
        </w:tc>
        <w:tc>
          <w:tcPr>
            <w:tcW w:w="2552" w:type="dxa"/>
            <w:tcBorders>
              <w:top w:val="nil"/>
              <w:left w:val="nil"/>
              <w:bottom w:val="nil"/>
              <w:right w:val="nil"/>
            </w:tcBorders>
            <w:shd w:val="clear" w:color="auto" w:fill="auto"/>
            <w:noWrap/>
            <w:vAlign w:val="bottom"/>
            <w:hideMark/>
          </w:tcPr>
          <w:p w14:paraId="571F415F" w14:textId="77777777" w:rsidR="001526AE" w:rsidRPr="001526AE" w:rsidRDefault="001526AE" w:rsidP="001526AE">
            <w:pPr>
              <w:spacing w:after="0" w:line="240" w:lineRule="auto"/>
              <w:rPr>
                <w:rFonts w:ascii="Times New Roman" w:eastAsia="Times New Roman" w:hAnsi="Times New Roman" w:cs="Times New Roman"/>
                <w:color w:val="000000"/>
                <w:lang w:eastAsia="es-CL"/>
              </w:rPr>
            </w:pPr>
            <w:r w:rsidRPr="001526AE">
              <w:rPr>
                <w:rFonts w:ascii="Times New Roman" w:eastAsia="Times New Roman" w:hAnsi="Times New Roman" w:cs="Times New Roman"/>
                <w:color w:val="000000"/>
                <w:lang w:eastAsia="es-CL"/>
              </w:rPr>
              <w:t>Media Incompleta</w:t>
            </w:r>
          </w:p>
        </w:tc>
        <w:tc>
          <w:tcPr>
            <w:tcW w:w="1298" w:type="dxa"/>
            <w:tcBorders>
              <w:top w:val="nil"/>
              <w:left w:val="nil"/>
              <w:bottom w:val="nil"/>
              <w:right w:val="nil"/>
            </w:tcBorders>
            <w:shd w:val="clear" w:color="auto" w:fill="auto"/>
            <w:noWrap/>
            <w:vAlign w:val="bottom"/>
            <w:hideMark/>
          </w:tcPr>
          <w:p w14:paraId="651BCB8D" w14:textId="77777777" w:rsidR="001526AE" w:rsidRPr="001526AE" w:rsidRDefault="001526AE" w:rsidP="001526AE">
            <w:pPr>
              <w:spacing w:after="0" w:line="240" w:lineRule="auto"/>
              <w:jc w:val="center"/>
              <w:rPr>
                <w:rFonts w:ascii="Times New Roman" w:eastAsia="Times New Roman" w:hAnsi="Times New Roman" w:cs="Times New Roman"/>
                <w:color w:val="000000"/>
                <w:lang w:eastAsia="es-CL"/>
              </w:rPr>
            </w:pPr>
            <w:r w:rsidRPr="001526AE">
              <w:rPr>
                <w:rFonts w:ascii="Times New Roman" w:eastAsia="Times New Roman" w:hAnsi="Times New Roman" w:cs="Times New Roman"/>
                <w:color w:val="000000"/>
                <w:lang w:eastAsia="es-CL"/>
              </w:rPr>
              <w:t>12,9</w:t>
            </w:r>
          </w:p>
        </w:tc>
        <w:tc>
          <w:tcPr>
            <w:tcW w:w="2100" w:type="dxa"/>
            <w:tcBorders>
              <w:top w:val="nil"/>
              <w:left w:val="nil"/>
              <w:bottom w:val="nil"/>
              <w:right w:val="nil"/>
            </w:tcBorders>
            <w:shd w:val="clear" w:color="auto" w:fill="auto"/>
            <w:noWrap/>
            <w:vAlign w:val="bottom"/>
            <w:hideMark/>
          </w:tcPr>
          <w:p w14:paraId="765CCB98" w14:textId="77777777" w:rsidR="001526AE" w:rsidRPr="001526AE" w:rsidRDefault="001526AE" w:rsidP="001526AE">
            <w:pPr>
              <w:spacing w:after="0" w:line="240" w:lineRule="auto"/>
              <w:jc w:val="center"/>
              <w:rPr>
                <w:rFonts w:ascii="Times New Roman" w:eastAsia="Times New Roman" w:hAnsi="Times New Roman" w:cs="Times New Roman"/>
                <w:color w:val="000000"/>
                <w:lang w:eastAsia="es-CL"/>
              </w:rPr>
            </w:pPr>
            <w:r w:rsidRPr="001526AE">
              <w:rPr>
                <w:rFonts w:ascii="Times New Roman" w:eastAsia="Times New Roman" w:hAnsi="Times New Roman" w:cs="Times New Roman"/>
                <w:color w:val="000000"/>
                <w:lang w:eastAsia="es-CL"/>
              </w:rPr>
              <w:t>2</w:t>
            </w:r>
          </w:p>
        </w:tc>
      </w:tr>
      <w:tr w:rsidR="001526AE" w:rsidRPr="001526AE" w14:paraId="7D55D7F3" w14:textId="77777777" w:rsidTr="00230BBA">
        <w:trPr>
          <w:trHeight w:val="288"/>
        </w:trPr>
        <w:tc>
          <w:tcPr>
            <w:tcW w:w="2410" w:type="dxa"/>
            <w:tcBorders>
              <w:top w:val="nil"/>
              <w:left w:val="nil"/>
              <w:bottom w:val="nil"/>
              <w:right w:val="nil"/>
            </w:tcBorders>
            <w:shd w:val="clear" w:color="auto" w:fill="auto"/>
            <w:noWrap/>
            <w:vAlign w:val="bottom"/>
            <w:hideMark/>
          </w:tcPr>
          <w:p w14:paraId="284D3DDA" w14:textId="77777777" w:rsidR="001526AE" w:rsidRPr="001526AE" w:rsidRDefault="001526AE" w:rsidP="001526AE">
            <w:pPr>
              <w:spacing w:after="0" w:line="240" w:lineRule="auto"/>
              <w:jc w:val="center"/>
              <w:rPr>
                <w:rFonts w:ascii="Times New Roman" w:eastAsia="Times New Roman" w:hAnsi="Times New Roman" w:cs="Times New Roman"/>
                <w:color w:val="000000"/>
                <w:lang w:eastAsia="es-CL"/>
              </w:rPr>
            </w:pPr>
          </w:p>
        </w:tc>
        <w:tc>
          <w:tcPr>
            <w:tcW w:w="2552" w:type="dxa"/>
            <w:tcBorders>
              <w:top w:val="nil"/>
              <w:left w:val="nil"/>
              <w:bottom w:val="nil"/>
              <w:right w:val="nil"/>
            </w:tcBorders>
            <w:shd w:val="clear" w:color="auto" w:fill="auto"/>
            <w:noWrap/>
            <w:vAlign w:val="bottom"/>
            <w:hideMark/>
          </w:tcPr>
          <w:p w14:paraId="364AAD5C" w14:textId="77777777" w:rsidR="001526AE" w:rsidRPr="001526AE" w:rsidRDefault="001526AE" w:rsidP="001526AE">
            <w:pPr>
              <w:spacing w:after="0" w:line="240" w:lineRule="auto"/>
              <w:rPr>
                <w:rFonts w:ascii="Times New Roman" w:eastAsia="Times New Roman" w:hAnsi="Times New Roman" w:cs="Times New Roman"/>
                <w:color w:val="000000"/>
                <w:lang w:eastAsia="es-CL"/>
              </w:rPr>
            </w:pPr>
            <w:r w:rsidRPr="001526AE">
              <w:rPr>
                <w:rFonts w:ascii="Times New Roman" w:eastAsia="Times New Roman" w:hAnsi="Times New Roman" w:cs="Times New Roman"/>
                <w:color w:val="000000"/>
                <w:lang w:eastAsia="es-CL"/>
              </w:rPr>
              <w:t>Media Completa</w:t>
            </w:r>
          </w:p>
        </w:tc>
        <w:tc>
          <w:tcPr>
            <w:tcW w:w="1298" w:type="dxa"/>
            <w:tcBorders>
              <w:top w:val="nil"/>
              <w:left w:val="nil"/>
              <w:bottom w:val="nil"/>
              <w:right w:val="nil"/>
            </w:tcBorders>
            <w:shd w:val="clear" w:color="auto" w:fill="auto"/>
            <w:noWrap/>
            <w:vAlign w:val="bottom"/>
            <w:hideMark/>
          </w:tcPr>
          <w:p w14:paraId="69E9821A" w14:textId="77777777" w:rsidR="001526AE" w:rsidRPr="001526AE" w:rsidRDefault="001526AE" w:rsidP="001526AE">
            <w:pPr>
              <w:spacing w:after="0" w:line="240" w:lineRule="auto"/>
              <w:jc w:val="center"/>
              <w:rPr>
                <w:rFonts w:ascii="Times New Roman" w:eastAsia="Times New Roman" w:hAnsi="Times New Roman" w:cs="Times New Roman"/>
                <w:color w:val="000000"/>
                <w:lang w:eastAsia="es-CL"/>
              </w:rPr>
            </w:pPr>
            <w:r w:rsidRPr="001526AE">
              <w:rPr>
                <w:rFonts w:ascii="Times New Roman" w:eastAsia="Times New Roman" w:hAnsi="Times New Roman" w:cs="Times New Roman"/>
                <w:color w:val="000000"/>
                <w:lang w:eastAsia="es-CL"/>
              </w:rPr>
              <w:t>40</w:t>
            </w:r>
          </w:p>
        </w:tc>
        <w:tc>
          <w:tcPr>
            <w:tcW w:w="2100" w:type="dxa"/>
            <w:tcBorders>
              <w:top w:val="nil"/>
              <w:left w:val="nil"/>
              <w:bottom w:val="nil"/>
              <w:right w:val="nil"/>
            </w:tcBorders>
            <w:shd w:val="clear" w:color="auto" w:fill="auto"/>
            <w:noWrap/>
            <w:vAlign w:val="bottom"/>
            <w:hideMark/>
          </w:tcPr>
          <w:p w14:paraId="3E311DED" w14:textId="77777777" w:rsidR="001526AE" w:rsidRPr="001526AE" w:rsidRDefault="001526AE" w:rsidP="001526AE">
            <w:pPr>
              <w:spacing w:after="0" w:line="240" w:lineRule="auto"/>
              <w:jc w:val="center"/>
              <w:rPr>
                <w:rFonts w:ascii="Times New Roman" w:eastAsia="Times New Roman" w:hAnsi="Times New Roman" w:cs="Times New Roman"/>
                <w:color w:val="000000"/>
                <w:lang w:eastAsia="es-CL"/>
              </w:rPr>
            </w:pPr>
            <w:r w:rsidRPr="001526AE">
              <w:rPr>
                <w:rFonts w:ascii="Times New Roman" w:eastAsia="Times New Roman" w:hAnsi="Times New Roman" w:cs="Times New Roman"/>
                <w:color w:val="000000"/>
                <w:lang w:eastAsia="es-CL"/>
              </w:rPr>
              <w:t>30,5</w:t>
            </w:r>
          </w:p>
        </w:tc>
      </w:tr>
      <w:tr w:rsidR="001526AE" w:rsidRPr="001526AE" w14:paraId="59551C0D" w14:textId="77777777" w:rsidTr="00230BBA">
        <w:trPr>
          <w:trHeight w:val="288"/>
        </w:trPr>
        <w:tc>
          <w:tcPr>
            <w:tcW w:w="2410" w:type="dxa"/>
            <w:tcBorders>
              <w:top w:val="nil"/>
              <w:left w:val="nil"/>
              <w:bottom w:val="nil"/>
              <w:right w:val="nil"/>
            </w:tcBorders>
            <w:shd w:val="clear" w:color="auto" w:fill="auto"/>
            <w:noWrap/>
            <w:vAlign w:val="bottom"/>
            <w:hideMark/>
          </w:tcPr>
          <w:p w14:paraId="614A70B9" w14:textId="77777777" w:rsidR="001526AE" w:rsidRPr="001526AE" w:rsidRDefault="001526AE" w:rsidP="001526AE">
            <w:pPr>
              <w:spacing w:after="0" w:line="240" w:lineRule="auto"/>
              <w:jc w:val="center"/>
              <w:rPr>
                <w:rFonts w:ascii="Times New Roman" w:eastAsia="Times New Roman" w:hAnsi="Times New Roman" w:cs="Times New Roman"/>
                <w:color w:val="000000"/>
                <w:lang w:eastAsia="es-CL"/>
              </w:rPr>
            </w:pPr>
          </w:p>
        </w:tc>
        <w:tc>
          <w:tcPr>
            <w:tcW w:w="2552" w:type="dxa"/>
            <w:tcBorders>
              <w:top w:val="nil"/>
              <w:left w:val="nil"/>
              <w:bottom w:val="nil"/>
              <w:right w:val="nil"/>
            </w:tcBorders>
            <w:shd w:val="clear" w:color="auto" w:fill="auto"/>
            <w:noWrap/>
            <w:vAlign w:val="bottom"/>
            <w:hideMark/>
          </w:tcPr>
          <w:p w14:paraId="7FD35553" w14:textId="77777777" w:rsidR="001526AE" w:rsidRPr="001526AE" w:rsidRDefault="001526AE" w:rsidP="001526AE">
            <w:pPr>
              <w:spacing w:after="0" w:line="240" w:lineRule="auto"/>
              <w:rPr>
                <w:rFonts w:ascii="Times New Roman" w:eastAsia="Times New Roman" w:hAnsi="Times New Roman" w:cs="Times New Roman"/>
                <w:color w:val="000000"/>
                <w:lang w:eastAsia="es-CL"/>
              </w:rPr>
            </w:pPr>
            <w:r w:rsidRPr="001526AE">
              <w:rPr>
                <w:rFonts w:ascii="Times New Roman" w:eastAsia="Times New Roman" w:hAnsi="Times New Roman" w:cs="Times New Roman"/>
                <w:color w:val="000000"/>
                <w:lang w:eastAsia="es-CL"/>
              </w:rPr>
              <w:t>Técnico-Profesional</w:t>
            </w:r>
          </w:p>
        </w:tc>
        <w:tc>
          <w:tcPr>
            <w:tcW w:w="1298" w:type="dxa"/>
            <w:tcBorders>
              <w:top w:val="nil"/>
              <w:left w:val="nil"/>
              <w:bottom w:val="nil"/>
              <w:right w:val="nil"/>
            </w:tcBorders>
            <w:shd w:val="clear" w:color="auto" w:fill="auto"/>
            <w:noWrap/>
            <w:vAlign w:val="bottom"/>
            <w:hideMark/>
          </w:tcPr>
          <w:p w14:paraId="697D5579" w14:textId="77777777" w:rsidR="001526AE" w:rsidRPr="001526AE" w:rsidRDefault="001526AE" w:rsidP="001526AE">
            <w:pPr>
              <w:spacing w:after="0" w:line="240" w:lineRule="auto"/>
              <w:jc w:val="center"/>
              <w:rPr>
                <w:rFonts w:ascii="Times New Roman" w:eastAsia="Times New Roman" w:hAnsi="Times New Roman" w:cs="Times New Roman"/>
                <w:color w:val="000000"/>
                <w:lang w:eastAsia="es-CL"/>
              </w:rPr>
            </w:pPr>
            <w:r w:rsidRPr="001526AE">
              <w:rPr>
                <w:rFonts w:ascii="Times New Roman" w:eastAsia="Times New Roman" w:hAnsi="Times New Roman" w:cs="Times New Roman"/>
                <w:color w:val="000000"/>
                <w:lang w:eastAsia="es-CL"/>
              </w:rPr>
              <w:t>21,4</w:t>
            </w:r>
          </w:p>
        </w:tc>
        <w:tc>
          <w:tcPr>
            <w:tcW w:w="2100" w:type="dxa"/>
            <w:tcBorders>
              <w:top w:val="nil"/>
              <w:left w:val="nil"/>
              <w:bottom w:val="nil"/>
              <w:right w:val="nil"/>
            </w:tcBorders>
            <w:shd w:val="clear" w:color="auto" w:fill="auto"/>
            <w:noWrap/>
            <w:vAlign w:val="bottom"/>
            <w:hideMark/>
          </w:tcPr>
          <w:p w14:paraId="0844FAC5" w14:textId="77777777" w:rsidR="001526AE" w:rsidRPr="001526AE" w:rsidRDefault="001526AE" w:rsidP="001526AE">
            <w:pPr>
              <w:spacing w:after="0" w:line="240" w:lineRule="auto"/>
              <w:jc w:val="center"/>
              <w:rPr>
                <w:rFonts w:ascii="Times New Roman" w:eastAsia="Times New Roman" w:hAnsi="Times New Roman" w:cs="Times New Roman"/>
                <w:color w:val="000000"/>
                <w:lang w:eastAsia="es-CL"/>
              </w:rPr>
            </w:pPr>
            <w:r w:rsidRPr="001526AE">
              <w:rPr>
                <w:rFonts w:ascii="Times New Roman" w:eastAsia="Times New Roman" w:hAnsi="Times New Roman" w:cs="Times New Roman"/>
                <w:color w:val="000000"/>
                <w:lang w:eastAsia="es-CL"/>
              </w:rPr>
              <w:t>12,4</w:t>
            </w:r>
          </w:p>
        </w:tc>
      </w:tr>
      <w:tr w:rsidR="001526AE" w:rsidRPr="001526AE" w14:paraId="045D75D3" w14:textId="77777777" w:rsidTr="00230BBA">
        <w:trPr>
          <w:trHeight w:val="288"/>
        </w:trPr>
        <w:tc>
          <w:tcPr>
            <w:tcW w:w="2410" w:type="dxa"/>
            <w:tcBorders>
              <w:top w:val="nil"/>
              <w:left w:val="nil"/>
              <w:bottom w:val="nil"/>
              <w:right w:val="nil"/>
            </w:tcBorders>
            <w:shd w:val="clear" w:color="auto" w:fill="auto"/>
            <w:noWrap/>
            <w:vAlign w:val="bottom"/>
            <w:hideMark/>
          </w:tcPr>
          <w:p w14:paraId="3121F950" w14:textId="77777777" w:rsidR="001526AE" w:rsidRPr="001526AE" w:rsidRDefault="001526AE" w:rsidP="001526AE">
            <w:pPr>
              <w:spacing w:after="0" w:line="240" w:lineRule="auto"/>
              <w:jc w:val="center"/>
              <w:rPr>
                <w:rFonts w:ascii="Times New Roman" w:eastAsia="Times New Roman" w:hAnsi="Times New Roman" w:cs="Times New Roman"/>
                <w:color w:val="000000"/>
                <w:lang w:eastAsia="es-CL"/>
              </w:rPr>
            </w:pPr>
          </w:p>
        </w:tc>
        <w:tc>
          <w:tcPr>
            <w:tcW w:w="2552" w:type="dxa"/>
            <w:tcBorders>
              <w:top w:val="nil"/>
              <w:left w:val="nil"/>
              <w:bottom w:val="nil"/>
              <w:right w:val="nil"/>
            </w:tcBorders>
            <w:shd w:val="clear" w:color="auto" w:fill="auto"/>
            <w:noWrap/>
            <w:vAlign w:val="bottom"/>
            <w:hideMark/>
          </w:tcPr>
          <w:p w14:paraId="7F663CB0" w14:textId="77777777" w:rsidR="001526AE" w:rsidRPr="001526AE" w:rsidRDefault="001526AE" w:rsidP="001526AE">
            <w:pPr>
              <w:spacing w:after="0" w:line="240" w:lineRule="auto"/>
              <w:rPr>
                <w:rFonts w:ascii="Times New Roman" w:eastAsia="Times New Roman" w:hAnsi="Times New Roman" w:cs="Times New Roman"/>
                <w:color w:val="000000"/>
                <w:lang w:eastAsia="es-CL"/>
              </w:rPr>
            </w:pPr>
            <w:r w:rsidRPr="001526AE">
              <w:rPr>
                <w:rFonts w:ascii="Times New Roman" w:eastAsia="Times New Roman" w:hAnsi="Times New Roman" w:cs="Times New Roman"/>
                <w:color w:val="000000"/>
                <w:lang w:eastAsia="es-CL"/>
              </w:rPr>
              <w:t>Universitaria</w:t>
            </w:r>
          </w:p>
        </w:tc>
        <w:tc>
          <w:tcPr>
            <w:tcW w:w="1298" w:type="dxa"/>
            <w:tcBorders>
              <w:top w:val="nil"/>
              <w:left w:val="nil"/>
              <w:bottom w:val="nil"/>
              <w:right w:val="nil"/>
            </w:tcBorders>
            <w:shd w:val="clear" w:color="auto" w:fill="auto"/>
            <w:noWrap/>
            <w:vAlign w:val="bottom"/>
            <w:hideMark/>
          </w:tcPr>
          <w:p w14:paraId="103328D9" w14:textId="77777777" w:rsidR="001526AE" w:rsidRPr="001526AE" w:rsidRDefault="001526AE" w:rsidP="001526AE">
            <w:pPr>
              <w:spacing w:after="0" w:line="240" w:lineRule="auto"/>
              <w:jc w:val="center"/>
              <w:rPr>
                <w:rFonts w:ascii="Times New Roman" w:eastAsia="Times New Roman" w:hAnsi="Times New Roman" w:cs="Times New Roman"/>
                <w:color w:val="000000"/>
                <w:lang w:eastAsia="es-CL"/>
              </w:rPr>
            </w:pPr>
            <w:r w:rsidRPr="001526AE">
              <w:rPr>
                <w:rFonts w:ascii="Times New Roman" w:eastAsia="Times New Roman" w:hAnsi="Times New Roman" w:cs="Times New Roman"/>
                <w:color w:val="000000"/>
                <w:lang w:eastAsia="es-CL"/>
              </w:rPr>
              <w:t>12,9</w:t>
            </w:r>
          </w:p>
        </w:tc>
        <w:tc>
          <w:tcPr>
            <w:tcW w:w="2100" w:type="dxa"/>
            <w:tcBorders>
              <w:top w:val="nil"/>
              <w:left w:val="nil"/>
              <w:bottom w:val="nil"/>
              <w:right w:val="nil"/>
            </w:tcBorders>
            <w:shd w:val="clear" w:color="auto" w:fill="auto"/>
            <w:noWrap/>
            <w:vAlign w:val="bottom"/>
            <w:hideMark/>
          </w:tcPr>
          <w:p w14:paraId="15B2B885" w14:textId="77777777" w:rsidR="001526AE" w:rsidRPr="001526AE" w:rsidRDefault="001526AE" w:rsidP="001526AE">
            <w:pPr>
              <w:spacing w:after="0" w:line="240" w:lineRule="auto"/>
              <w:jc w:val="center"/>
              <w:rPr>
                <w:rFonts w:ascii="Times New Roman" w:eastAsia="Times New Roman" w:hAnsi="Times New Roman" w:cs="Times New Roman"/>
                <w:color w:val="000000"/>
                <w:lang w:eastAsia="es-CL"/>
              </w:rPr>
            </w:pPr>
            <w:r w:rsidRPr="001526AE">
              <w:rPr>
                <w:rFonts w:ascii="Times New Roman" w:eastAsia="Times New Roman" w:hAnsi="Times New Roman" w:cs="Times New Roman"/>
                <w:color w:val="000000"/>
                <w:lang w:eastAsia="es-CL"/>
              </w:rPr>
              <w:t>54,1</w:t>
            </w:r>
          </w:p>
        </w:tc>
      </w:tr>
      <w:tr w:rsidR="001526AE" w:rsidRPr="001526AE" w14:paraId="6324EFE5" w14:textId="77777777" w:rsidTr="00230BBA">
        <w:trPr>
          <w:trHeight w:val="288"/>
        </w:trPr>
        <w:tc>
          <w:tcPr>
            <w:tcW w:w="2410" w:type="dxa"/>
            <w:tcBorders>
              <w:top w:val="nil"/>
              <w:left w:val="nil"/>
              <w:bottom w:val="nil"/>
              <w:right w:val="nil"/>
            </w:tcBorders>
            <w:shd w:val="clear" w:color="auto" w:fill="auto"/>
            <w:noWrap/>
            <w:vAlign w:val="bottom"/>
            <w:hideMark/>
          </w:tcPr>
          <w:p w14:paraId="107DD947" w14:textId="77777777" w:rsidR="001526AE" w:rsidRPr="001526AE" w:rsidRDefault="001526AE" w:rsidP="001526AE">
            <w:pPr>
              <w:spacing w:after="0" w:line="240" w:lineRule="auto"/>
              <w:rPr>
                <w:rFonts w:ascii="Times New Roman" w:eastAsia="Times New Roman" w:hAnsi="Times New Roman" w:cs="Times New Roman"/>
                <w:color w:val="000000"/>
                <w:lang w:eastAsia="es-CL"/>
              </w:rPr>
            </w:pPr>
            <w:r w:rsidRPr="001526AE">
              <w:rPr>
                <w:rFonts w:ascii="Times New Roman" w:eastAsia="Times New Roman" w:hAnsi="Times New Roman" w:cs="Times New Roman"/>
                <w:color w:val="000000"/>
                <w:lang w:eastAsia="es-CL"/>
              </w:rPr>
              <w:t>Ocupación [%]</w:t>
            </w:r>
          </w:p>
        </w:tc>
        <w:tc>
          <w:tcPr>
            <w:tcW w:w="2552" w:type="dxa"/>
            <w:tcBorders>
              <w:top w:val="nil"/>
              <w:left w:val="nil"/>
              <w:bottom w:val="nil"/>
              <w:right w:val="nil"/>
            </w:tcBorders>
            <w:shd w:val="clear" w:color="auto" w:fill="auto"/>
            <w:noWrap/>
            <w:vAlign w:val="bottom"/>
            <w:hideMark/>
          </w:tcPr>
          <w:p w14:paraId="4705200E" w14:textId="77777777" w:rsidR="001526AE" w:rsidRPr="001526AE" w:rsidRDefault="001526AE" w:rsidP="001526AE">
            <w:pPr>
              <w:spacing w:after="0" w:line="240" w:lineRule="auto"/>
              <w:rPr>
                <w:rFonts w:ascii="Times New Roman" w:eastAsia="Times New Roman" w:hAnsi="Times New Roman" w:cs="Times New Roman"/>
                <w:color w:val="000000"/>
                <w:lang w:eastAsia="es-CL"/>
              </w:rPr>
            </w:pPr>
          </w:p>
        </w:tc>
        <w:tc>
          <w:tcPr>
            <w:tcW w:w="1298" w:type="dxa"/>
            <w:tcBorders>
              <w:top w:val="nil"/>
              <w:left w:val="nil"/>
              <w:bottom w:val="nil"/>
              <w:right w:val="nil"/>
            </w:tcBorders>
            <w:shd w:val="clear" w:color="auto" w:fill="auto"/>
            <w:noWrap/>
            <w:vAlign w:val="bottom"/>
            <w:hideMark/>
          </w:tcPr>
          <w:p w14:paraId="2AAB99D2" w14:textId="77777777" w:rsidR="001526AE" w:rsidRPr="001526AE" w:rsidRDefault="001526AE" w:rsidP="001526AE">
            <w:pPr>
              <w:spacing w:after="0" w:line="240" w:lineRule="auto"/>
              <w:rPr>
                <w:rFonts w:ascii="Times New Roman" w:eastAsia="Times New Roman" w:hAnsi="Times New Roman" w:cs="Times New Roman"/>
                <w:sz w:val="20"/>
                <w:szCs w:val="20"/>
                <w:lang w:eastAsia="es-CL"/>
              </w:rPr>
            </w:pPr>
          </w:p>
        </w:tc>
        <w:tc>
          <w:tcPr>
            <w:tcW w:w="2100" w:type="dxa"/>
            <w:tcBorders>
              <w:top w:val="nil"/>
              <w:left w:val="nil"/>
              <w:bottom w:val="nil"/>
              <w:right w:val="nil"/>
            </w:tcBorders>
            <w:shd w:val="clear" w:color="auto" w:fill="auto"/>
            <w:noWrap/>
            <w:vAlign w:val="bottom"/>
            <w:hideMark/>
          </w:tcPr>
          <w:p w14:paraId="1438D3E0" w14:textId="77777777" w:rsidR="001526AE" w:rsidRPr="001526AE" w:rsidRDefault="001526AE" w:rsidP="001526AE">
            <w:pPr>
              <w:spacing w:after="0" w:line="240" w:lineRule="auto"/>
              <w:jc w:val="center"/>
              <w:rPr>
                <w:rFonts w:ascii="Times New Roman" w:eastAsia="Times New Roman" w:hAnsi="Times New Roman" w:cs="Times New Roman"/>
                <w:sz w:val="20"/>
                <w:szCs w:val="20"/>
                <w:lang w:eastAsia="es-CL"/>
              </w:rPr>
            </w:pPr>
          </w:p>
        </w:tc>
      </w:tr>
      <w:tr w:rsidR="001526AE" w:rsidRPr="001526AE" w14:paraId="31824297" w14:textId="77777777" w:rsidTr="00230BBA">
        <w:trPr>
          <w:trHeight w:val="288"/>
        </w:trPr>
        <w:tc>
          <w:tcPr>
            <w:tcW w:w="2410" w:type="dxa"/>
            <w:tcBorders>
              <w:top w:val="nil"/>
              <w:left w:val="nil"/>
              <w:bottom w:val="nil"/>
              <w:right w:val="nil"/>
            </w:tcBorders>
            <w:shd w:val="clear" w:color="auto" w:fill="auto"/>
            <w:noWrap/>
            <w:vAlign w:val="bottom"/>
            <w:hideMark/>
          </w:tcPr>
          <w:p w14:paraId="1B1414E3" w14:textId="77777777" w:rsidR="001526AE" w:rsidRPr="001526AE" w:rsidRDefault="001526AE" w:rsidP="001526AE">
            <w:pPr>
              <w:spacing w:after="0" w:line="240" w:lineRule="auto"/>
              <w:jc w:val="center"/>
              <w:rPr>
                <w:rFonts w:ascii="Times New Roman" w:eastAsia="Times New Roman" w:hAnsi="Times New Roman" w:cs="Times New Roman"/>
                <w:sz w:val="20"/>
                <w:szCs w:val="20"/>
                <w:lang w:eastAsia="es-CL"/>
              </w:rPr>
            </w:pPr>
          </w:p>
        </w:tc>
        <w:tc>
          <w:tcPr>
            <w:tcW w:w="2552" w:type="dxa"/>
            <w:tcBorders>
              <w:top w:val="nil"/>
              <w:left w:val="nil"/>
              <w:bottom w:val="nil"/>
              <w:right w:val="nil"/>
            </w:tcBorders>
            <w:shd w:val="clear" w:color="auto" w:fill="auto"/>
            <w:noWrap/>
            <w:vAlign w:val="bottom"/>
            <w:hideMark/>
          </w:tcPr>
          <w:p w14:paraId="6C720322" w14:textId="77777777" w:rsidR="001526AE" w:rsidRPr="001526AE" w:rsidRDefault="001526AE" w:rsidP="001526AE">
            <w:pPr>
              <w:spacing w:after="0" w:line="240" w:lineRule="auto"/>
              <w:rPr>
                <w:rFonts w:ascii="Times New Roman" w:eastAsia="Times New Roman" w:hAnsi="Times New Roman" w:cs="Times New Roman"/>
                <w:color w:val="000000"/>
                <w:lang w:eastAsia="es-CL"/>
              </w:rPr>
            </w:pPr>
            <w:r w:rsidRPr="001526AE">
              <w:rPr>
                <w:rFonts w:ascii="Times New Roman" w:eastAsia="Times New Roman" w:hAnsi="Times New Roman" w:cs="Times New Roman"/>
                <w:color w:val="000000"/>
                <w:lang w:eastAsia="es-CL"/>
              </w:rPr>
              <w:t>Dueña de Casa</w:t>
            </w:r>
          </w:p>
        </w:tc>
        <w:tc>
          <w:tcPr>
            <w:tcW w:w="1298" w:type="dxa"/>
            <w:tcBorders>
              <w:top w:val="nil"/>
              <w:left w:val="nil"/>
              <w:bottom w:val="nil"/>
              <w:right w:val="nil"/>
            </w:tcBorders>
            <w:shd w:val="clear" w:color="auto" w:fill="auto"/>
            <w:noWrap/>
            <w:vAlign w:val="bottom"/>
            <w:hideMark/>
          </w:tcPr>
          <w:p w14:paraId="6CEF11CE" w14:textId="77777777" w:rsidR="001526AE" w:rsidRPr="001526AE" w:rsidRDefault="001526AE" w:rsidP="001526AE">
            <w:pPr>
              <w:spacing w:after="0" w:line="240" w:lineRule="auto"/>
              <w:jc w:val="center"/>
              <w:rPr>
                <w:rFonts w:ascii="Times New Roman" w:eastAsia="Times New Roman" w:hAnsi="Times New Roman" w:cs="Times New Roman"/>
                <w:color w:val="000000"/>
                <w:lang w:eastAsia="es-CL"/>
              </w:rPr>
            </w:pPr>
            <w:r w:rsidRPr="001526AE">
              <w:rPr>
                <w:rFonts w:ascii="Times New Roman" w:eastAsia="Times New Roman" w:hAnsi="Times New Roman" w:cs="Times New Roman"/>
                <w:color w:val="000000"/>
                <w:lang w:eastAsia="es-CL"/>
              </w:rPr>
              <w:t>19,12</w:t>
            </w:r>
          </w:p>
        </w:tc>
        <w:tc>
          <w:tcPr>
            <w:tcW w:w="2100" w:type="dxa"/>
            <w:tcBorders>
              <w:top w:val="nil"/>
              <w:left w:val="nil"/>
              <w:bottom w:val="nil"/>
              <w:right w:val="nil"/>
            </w:tcBorders>
            <w:shd w:val="clear" w:color="auto" w:fill="auto"/>
            <w:noWrap/>
            <w:vAlign w:val="bottom"/>
            <w:hideMark/>
          </w:tcPr>
          <w:p w14:paraId="2A8AFFC0" w14:textId="77777777" w:rsidR="001526AE" w:rsidRPr="001526AE" w:rsidRDefault="001526AE" w:rsidP="001526AE">
            <w:pPr>
              <w:spacing w:after="0" w:line="240" w:lineRule="auto"/>
              <w:jc w:val="center"/>
              <w:rPr>
                <w:rFonts w:ascii="Times New Roman" w:eastAsia="Times New Roman" w:hAnsi="Times New Roman" w:cs="Times New Roman"/>
                <w:color w:val="000000"/>
                <w:lang w:eastAsia="es-CL"/>
              </w:rPr>
            </w:pPr>
            <w:r w:rsidRPr="001526AE">
              <w:rPr>
                <w:rFonts w:ascii="Times New Roman" w:eastAsia="Times New Roman" w:hAnsi="Times New Roman" w:cs="Times New Roman"/>
                <w:color w:val="000000"/>
                <w:lang w:eastAsia="es-CL"/>
              </w:rPr>
              <w:t>8,74</w:t>
            </w:r>
          </w:p>
        </w:tc>
      </w:tr>
      <w:tr w:rsidR="001526AE" w:rsidRPr="001526AE" w14:paraId="63C2FFAE" w14:textId="77777777" w:rsidTr="00230BBA">
        <w:trPr>
          <w:trHeight w:val="288"/>
        </w:trPr>
        <w:tc>
          <w:tcPr>
            <w:tcW w:w="2410" w:type="dxa"/>
            <w:tcBorders>
              <w:top w:val="nil"/>
              <w:left w:val="nil"/>
              <w:bottom w:val="nil"/>
              <w:right w:val="nil"/>
            </w:tcBorders>
            <w:shd w:val="clear" w:color="auto" w:fill="auto"/>
            <w:noWrap/>
            <w:vAlign w:val="bottom"/>
            <w:hideMark/>
          </w:tcPr>
          <w:p w14:paraId="6D416C86" w14:textId="77777777" w:rsidR="001526AE" w:rsidRPr="001526AE" w:rsidRDefault="001526AE" w:rsidP="001526AE">
            <w:pPr>
              <w:spacing w:after="0" w:line="240" w:lineRule="auto"/>
              <w:jc w:val="center"/>
              <w:rPr>
                <w:rFonts w:ascii="Times New Roman" w:eastAsia="Times New Roman" w:hAnsi="Times New Roman" w:cs="Times New Roman"/>
                <w:color w:val="000000"/>
                <w:lang w:eastAsia="es-CL"/>
              </w:rPr>
            </w:pPr>
          </w:p>
        </w:tc>
        <w:tc>
          <w:tcPr>
            <w:tcW w:w="2552" w:type="dxa"/>
            <w:tcBorders>
              <w:top w:val="nil"/>
              <w:left w:val="nil"/>
              <w:bottom w:val="nil"/>
              <w:right w:val="nil"/>
            </w:tcBorders>
            <w:shd w:val="clear" w:color="auto" w:fill="auto"/>
            <w:noWrap/>
            <w:vAlign w:val="bottom"/>
            <w:hideMark/>
          </w:tcPr>
          <w:p w14:paraId="01ED5070" w14:textId="77777777" w:rsidR="001526AE" w:rsidRPr="001526AE" w:rsidRDefault="001526AE" w:rsidP="001526AE">
            <w:pPr>
              <w:spacing w:after="0" w:line="240" w:lineRule="auto"/>
              <w:rPr>
                <w:rFonts w:ascii="Times New Roman" w:eastAsia="Times New Roman" w:hAnsi="Times New Roman" w:cs="Times New Roman"/>
                <w:color w:val="000000"/>
                <w:lang w:eastAsia="es-CL"/>
              </w:rPr>
            </w:pPr>
            <w:r w:rsidRPr="001526AE">
              <w:rPr>
                <w:rFonts w:ascii="Times New Roman" w:eastAsia="Times New Roman" w:hAnsi="Times New Roman" w:cs="Times New Roman"/>
                <w:color w:val="000000"/>
                <w:lang w:eastAsia="es-CL"/>
              </w:rPr>
              <w:t>Estudiante</w:t>
            </w:r>
          </w:p>
        </w:tc>
        <w:tc>
          <w:tcPr>
            <w:tcW w:w="1298" w:type="dxa"/>
            <w:tcBorders>
              <w:top w:val="nil"/>
              <w:left w:val="nil"/>
              <w:bottom w:val="nil"/>
              <w:right w:val="nil"/>
            </w:tcBorders>
            <w:shd w:val="clear" w:color="auto" w:fill="auto"/>
            <w:noWrap/>
            <w:vAlign w:val="bottom"/>
            <w:hideMark/>
          </w:tcPr>
          <w:p w14:paraId="083380A1" w14:textId="77777777" w:rsidR="001526AE" w:rsidRPr="001526AE" w:rsidRDefault="001526AE" w:rsidP="001526AE">
            <w:pPr>
              <w:spacing w:after="0" w:line="240" w:lineRule="auto"/>
              <w:jc w:val="center"/>
              <w:rPr>
                <w:rFonts w:ascii="Times New Roman" w:eastAsia="Times New Roman" w:hAnsi="Times New Roman" w:cs="Times New Roman"/>
                <w:color w:val="000000"/>
                <w:lang w:eastAsia="es-CL"/>
              </w:rPr>
            </w:pPr>
            <w:r w:rsidRPr="001526AE">
              <w:rPr>
                <w:rFonts w:ascii="Times New Roman" w:eastAsia="Times New Roman" w:hAnsi="Times New Roman" w:cs="Times New Roman"/>
                <w:color w:val="000000"/>
                <w:lang w:eastAsia="es-CL"/>
              </w:rPr>
              <w:t>2,94</w:t>
            </w:r>
          </w:p>
        </w:tc>
        <w:tc>
          <w:tcPr>
            <w:tcW w:w="2100" w:type="dxa"/>
            <w:tcBorders>
              <w:top w:val="nil"/>
              <w:left w:val="nil"/>
              <w:bottom w:val="nil"/>
              <w:right w:val="nil"/>
            </w:tcBorders>
            <w:shd w:val="clear" w:color="auto" w:fill="auto"/>
            <w:noWrap/>
            <w:vAlign w:val="bottom"/>
            <w:hideMark/>
          </w:tcPr>
          <w:p w14:paraId="3ADA4CD9" w14:textId="77777777" w:rsidR="001526AE" w:rsidRPr="001526AE" w:rsidRDefault="001526AE" w:rsidP="001526AE">
            <w:pPr>
              <w:spacing w:after="0" w:line="240" w:lineRule="auto"/>
              <w:jc w:val="center"/>
              <w:rPr>
                <w:rFonts w:ascii="Times New Roman" w:eastAsia="Times New Roman" w:hAnsi="Times New Roman" w:cs="Times New Roman"/>
                <w:color w:val="000000"/>
                <w:lang w:eastAsia="es-CL"/>
              </w:rPr>
            </w:pPr>
            <w:r w:rsidRPr="001526AE">
              <w:rPr>
                <w:rFonts w:ascii="Times New Roman" w:eastAsia="Times New Roman" w:hAnsi="Times New Roman" w:cs="Times New Roman"/>
                <w:color w:val="000000"/>
                <w:lang w:eastAsia="es-CL"/>
              </w:rPr>
              <w:t>43,69</w:t>
            </w:r>
          </w:p>
        </w:tc>
      </w:tr>
      <w:tr w:rsidR="001526AE" w:rsidRPr="001526AE" w14:paraId="1D16BFD9" w14:textId="77777777" w:rsidTr="00230BBA">
        <w:trPr>
          <w:trHeight w:val="288"/>
        </w:trPr>
        <w:tc>
          <w:tcPr>
            <w:tcW w:w="2410" w:type="dxa"/>
            <w:tcBorders>
              <w:top w:val="nil"/>
              <w:left w:val="nil"/>
              <w:bottom w:val="nil"/>
              <w:right w:val="nil"/>
            </w:tcBorders>
            <w:shd w:val="clear" w:color="auto" w:fill="auto"/>
            <w:noWrap/>
            <w:vAlign w:val="bottom"/>
            <w:hideMark/>
          </w:tcPr>
          <w:p w14:paraId="4AD7A57B" w14:textId="77777777" w:rsidR="001526AE" w:rsidRPr="001526AE" w:rsidRDefault="001526AE" w:rsidP="001526AE">
            <w:pPr>
              <w:spacing w:after="0" w:line="240" w:lineRule="auto"/>
              <w:jc w:val="center"/>
              <w:rPr>
                <w:rFonts w:ascii="Times New Roman" w:eastAsia="Times New Roman" w:hAnsi="Times New Roman" w:cs="Times New Roman"/>
                <w:color w:val="000000"/>
                <w:lang w:eastAsia="es-CL"/>
              </w:rPr>
            </w:pPr>
          </w:p>
        </w:tc>
        <w:tc>
          <w:tcPr>
            <w:tcW w:w="2552" w:type="dxa"/>
            <w:tcBorders>
              <w:top w:val="nil"/>
              <w:left w:val="nil"/>
              <w:bottom w:val="nil"/>
              <w:right w:val="nil"/>
            </w:tcBorders>
            <w:shd w:val="clear" w:color="auto" w:fill="auto"/>
            <w:noWrap/>
            <w:vAlign w:val="bottom"/>
            <w:hideMark/>
          </w:tcPr>
          <w:p w14:paraId="4DF42F68" w14:textId="77777777" w:rsidR="001526AE" w:rsidRPr="001526AE" w:rsidRDefault="001526AE" w:rsidP="001526AE">
            <w:pPr>
              <w:spacing w:after="0" w:line="240" w:lineRule="auto"/>
              <w:rPr>
                <w:rFonts w:ascii="Times New Roman" w:eastAsia="Times New Roman" w:hAnsi="Times New Roman" w:cs="Times New Roman"/>
                <w:color w:val="000000"/>
                <w:lang w:eastAsia="es-CL"/>
              </w:rPr>
            </w:pPr>
            <w:r w:rsidRPr="001526AE">
              <w:rPr>
                <w:rFonts w:ascii="Times New Roman" w:eastAsia="Times New Roman" w:hAnsi="Times New Roman" w:cs="Times New Roman"/>
                <w:color w:val="000000"/>
                <w:lang w:eastAsia="es-CL"/>
              </w:rPr>
              <w:t>Trabajador Dependiente</w:t>
            </w:r>
          </w:p>
        </w:tc>
        <w:tc>
          <w:tcPr>
            <w:tcW w:w="1298" w:type="dxa"/>
            <w:tcBorders>
              <w:top w:val="nil"/>
              <w:left w:val="nil"/>
              <w:bottom w:val="nil"/>
              <w:right w:val="nil"/>
            </w:tcBorders>
            <w:shd w:val="clear" w:color="auto" w:fill="auto"/>
            <w:noWrap/>
            <w:vAlign w:val="bottom"/>
            <w:hideMark/>
          </w:tcPr>
          <w:p w14:paraId="2BCB8CD0" w14:textId="77777777" w:rsidR="001526AE" w:rsidRPr="001526AE" w:rsidRDefault="001526AE" w:rsidP="001526AE">
            <w:pPr>
              <w:spacing w:after="0" w:line="240" w:lineRule="auto"/>
              <w:jc w:val="center"/>
              <w:rPr>
                <w:rFonts w:ascii="Times New Roman" w:eastAsia="Times New Roman" w:hAnsi="Times New Roman" w:cs="Times New Roman"/>
                <w:color w:val="000000"/>
                <w:lang w:eastAsia="es-CL"/>
              </w:rPr>
            </w:pPr>
            <w:r w:rsidRPr="001526AE">
              <w:rPr>
                <w:rFonts w:ascii="Times New Roman" w:eastAsia="Times New Roman" w:hAnsi="Times New Roman" w:cs="Times New Roman"/>
                <w:color w:val="000000"/>
                <w:lang w:eastAsia="es-CL"/>
              </w:rPr>
              <w:t>20,59</w:t>
            </w:r>
          </w:p>
        </w:tc>
        <w:tc>
          <w:tcPr>
            <w:tcW w:w="2100" w:type="dxa"/>
            <w:tcBorders>
              <w:top w:val="nil"/>
              <w:left w:val="nil"/>
              <w:bottom w:val="nil"/>
              <w:right w:val="nil"/>
            </w:tcBorders>
            <w:shd w:val="clear" w:color="auto" w:fill="auto"/>
            <w:noWrap/>
            <w:vAlign w:val="bottom"/>
            <w:hideMark/>
          </w:tcPr>
          <w:p w14:paraId="3AE5CDD9" w14:textId="77777777" w:rsidR="001526AE" w:rsidRPr="001526AE" w:rsidRDefault="001526AE" w:rsidP="001526AE">
            <w:pPr>
              <w:spacing w:after="0" w:line="240" w:lineRule="auto"/>
              <w:jc w:val="center"/>
              <w:rPr>
                <w:rFonts w:ascii="Times New Roman" w:eastAsia="Times New Roman" w:hAnsi="Times New Roman" w:cs="Times New Roman"/>
                <w:color w:val="000000"/>
                <w:lang w:eastAsia="es-CL"/>
              </w:rPr>
            </w:pPr>
            <w:r w:rsidRPr="001526AE">
              <w:rPr>
                <w:rFonts w:ascii="Times New Roman" w:eastAsia="Times New Roman" w:hAnsi="Times New Roman" w:cs="Times New Roman"/>
                <w:color w:val="000000"/>
                <w:lang w:eastAsia="es-CL"/>
              </w:rPr>
              <w:t>33,01</w:t>
            </w:r>
          </w:p>
        </w:tc>
      </w:tr>
      <w:tr w:rsidR="001526AE" w:rsidRPr="001526AE" w14:paraId="65C4D310" w14:textId="77777777" w:rsidTr="00230BBA">
        <w:trPr>
          <w:trHeight w:val="288"/>
        </w:trPr>
        <w:tc>
          <w:tcPr>
            <w:tcW w:w="2410" w:type="dxa"/>
            <w:tcBorders>
              <w:top w:val="nil"/>
              <w:left w:val="nil"/>
              <w:bottom w:val="nil"/>
              <w:right w:val="nil"/>
            </w:tcBorders>
            <w:shd w:val="clear" w:color="auto" w:fill="auto"/>
            <w:noWrap/>
            <w:vAlign w:val="bottom"/>
            <w:hideMark/>
          </w:tcPr>
          <w:p w14:paraId="0CCA9C49" w14:textId="77777777" w:rsidR="001526AE" w:rsidRPr="001526AE" w:rsidRDefault="001526AE" w:rsidP="001526AE">
            <w:pPr>
              <w:spacing w:after="0" w:line="240" w:lineRule="auto"/>
              <w:jc w:val="center"/>
              <w:rPr>
                <w:rFonts w:ascii="Times New Roman" w:eastAsia="Times New Roman" w:hAnsi="Times New Roman" w:cs="Times New Roman"/>
                <w:color w:val="000000"/>
                <w:lang w:eastAsia="es-CL"/>
              </w:rPr>
            </w:pPr>
          </w:p>
        </w:tc>
        <w:tc>
          <w:tcPr>
            <w:tcW w:w="2552" w:type="dxa"/>
            <w:tcBorders>
              <w:top w:val="nil"/>
              <w:left w:val="nil"/>
              <w:bottom w:val="nil"/>
              <w:right w:val="nil"/>
            </w:tcBorders>
            <w:shd w:val="clear" w:color="auto" w:fill="auto"/>
            <w:noWrap/>
            <w:vAlign w:val="bottom"/>
            <w:hideMark/>
          </w:tcPr>
          <w:p w14:paraId="53DA55B0" w14:textId="77777777" w:rsidR="001526AE" w:rsidRPr="001526AE" w:rsidRDefault="001526AE" w:rsidP="001526AE">
            <w:pPr>
              <w:spacing w:after="0" w:line="240" w:lineRule="auto"/>
              <w:rPr>
                <w:rFonts w:ascii="Times New Roman" w:eastAsia="Times New Roman" w:hAnsi="Times New Roman" w:cs="Times New Roman"/>
                <w:color w:val="000000"/>
                <w:lang w:eastAsia="es-CL"/>
              </w:rPr>
            </w:pPr>
            <w:r w:rsidRPr="001526AE">
              <w:rPr>
                <w:rFonts w:ascii="Times New Roman" w:eastAsia="Times New Roman" w:hAnsi="Times New Roman" w:cs="Times New Roman"/>
                <w:color w:val="000000"/>
                <w:lang w:eastAsia="es-CL"/>
              </w:rPr>
              <w:t>Trabajador Independiente</w:t>
            </w:r>
          </w:p>
        </w:tc>
        <w:tc>
          <w:tcPr>
            <w:tcW w:w="1298" w:type="dxa"/>
            <w:tcBorders>
              <w:top w:val="nil"/>
              <w:left w:val="nil"/>
              <w:bottom w:val="nil"/>
              <w:right w:val="nil"/>
            </w:tcBorders>
            <w:shd w:val="clear" w:color="auto" w:fill="auto"/>
            <w:noWrap/>
            <w:vAlign w:val="bottom"/>
            <w:hideMark/>
          </w:tcPr>
          <w:p w14:paraId="7A16317A" w14:textId="77777777" w:rsidR="001526AE" w:rsidRPr="001526AE" w:rsidRDefault="001526AE" w:rsidP="001526AE">
            <w:pPr>
              <w:spacing w:after="0" w:line="240" w:lineRule="auto"/>
              <w:jc w:val="center"/>
              <w:rPr>
                <w:rFonts w:ascii="Times New Roman" w:eastAsia="Times New Roman" w:hAnsi="Times New Roman" w:cs="Times New Roman"/>
                <w:color w:val="000000"/>
                <w:lang w:eastAsia="es-CL"/>
              </w:rPr>
            </w:pPr>
            <w:r w:rsidRPr="001526AE">
              <w:rPr>
                <w:rFonts w:ascii="Times New Roman" w:eastAsia="Times New Roman" w:hAnsi="Times New Roman" w:cs="Times New Roman"/>
                <w:color w:val="000000"/>
                <w:lang w:eastAsia="es-CL"/>
              </w:rPr>
              <w:t>13,24</w:t>
            </w:r>
          </w:p>
        </w:tc>
        <w:tc>
          <w:tcPr>
            <w:tcW w:w="2100" w:type="dxa"/>
            <w:tcBorders>
              <w:top w:val="nil"/>
              <w:left w:val="nil"/>
              <w:bottom w:val="nil"/>
              <w:right w:val="nil"/>
            </w:tcBorders>
            <w:shd w:val="clear" w:color="auto" w:fill="auto"/>
            <w:noWrap/>
            <w:vAlign w:val="bottom"/>
            <w:hideMark/>
          </w:tcPr>
          <w:p w14:paraId="40750EC8" w14:textId="77777777" w:rsidR="001526AE" w:rsidRPr="001526AE" w:rsidRDefault="001526AE" w:rsidP="001526AE">
            <w:pPr>
              <w:spacing w:after="0" w:line="240" w:lineRule="auto"/>
              <w:jc w:val="center"/>
              <w:rPr>
                <w:rFonts w:ascii="Times New Roman" w:eastAsia="Times New Roman" w:hAnsi="Times New Roman" w:cs="Times New Roman"/>
                <w:color w:val="000000"/>
                <w:lang w:eastAsia="es-CL"/>
              </w:rPr>
            </w:pPr>
            <w:r w:rsidRPr="001526AE">
              <w:rPr>
                <w:rFonts w:ascii="Times New Roman" w:eastAsia="Times New Roman" w:hAnsi="Times New Roman" w:cs="Times New Roman"/>
                <w:color w:val="000000"/>
                <w:lang w:eastAsia="es-CL"/>
              </w:rPr>
              <w:t>6,80</w:t>
            </w:r>
          </w:p>
        </w:tc>
      </w:tr>
      <w:tr w:rsidR="001526AE" w:rsidRPr="001526AE" w14:paraId="1277B757" w14:textId="77777777" w:rsidTr="00230BBA">
        <w:trPr>
          <w:trHeight w:val="288"/>
        </w:trPr>
        <w:tc>
          <w:tcPr>
            <w:tcW w:w="2410" w:type="dxa"/>
            <w:tcBorders>
              <w:top w:val="nil"/>
              <w:left w:val="nil"/>
              <w:bottom w:val="nil"/>
              <w:right w:val="nil"/>
            </w:tcBorders>
            <w:shd w:val="clear" w:color="auto" w:fill="auto"/>
            <w:noWrap/>
            <w:vAlign w:val="bottom"/>
            <w:hideMark/>
          </w:tcPr>
          <w:p w14:paraId="4AE206CC" w14:textId="77777777" w:rsidR="001526AE" w:rsidRPr="001526AE" w:rsidRDefault="001526AE" w:rsidP="001526AE">
            <w:pPr>
              <w:spacing w:after="0" w:line="240" w:lineRule="auto"/>
              <w:jc w:val="center"/>
              <w:rPr>
                <w:rFonts w:ascii="Times New Roman" w:eastAsia="Times New Roman" w:hAnsi="Times New Roman" w:cs="Times New Roman"/>
                <w:color w:val="000000"/>
                <w:lang w:eastAsia="es-CL"/>
              </w:rPr>
            </w:pPr>
          </w:p>
        </w:tc>
        <w:tc>
          <w:tcPr>
            <w:tcW w:w="2552" w:type="dxa"/>
            <w:tcBorders>
              <w:top w:val="nil"/>
              <w:left w:val="nil"/>
              <w:bottom w:val="nil"/>
              <w:right w:val="nil"/>
            </w:tcBorders>
            <w:shd w:val="clear" w:color="auto" w:fill="auto"/>
            <w:noWrap/>
            <w:vAlign w:val="bottom"/>
            <w:hideMark/>
          </w:tcPr>
          <w:p w14:paraId="5C2B8EDC" w14:textId="77777777" w:rsidR="001526AE" w:rsidRPr="001526AE" w:rsidRDefault="001526AE" w:rsidP="001526AE">
            <w:pPr>
              <w:spacing w:after="0" w:line="240" w:lineRule="auto"/>
              <w:rPr>
                <w:rFonts w:ascii="Times New Roman" w:eastAsia="Times New Roman" w:hAnsi="Times New Roman" w:cs="Times New Roman"/>
                <w:color w:val="000000"/>
                <w:lang w:eastAsia="es-CL"/>
              </w:rPr>
            </w:pPr>
            <w:r w:rsidRPr="001526AE">
              <w:rPr>
                <w:rFonts w:ascii="Times New Roman" w:eastAsia="Times New Roman" w:hAnsi="Times New Roman" w:cs="Times New Roman"/>
                <w:color w:val="000000"/>
                <w:lang w:eastAsia="es-CL"/>
              </w:rPr>
              <w:t>Cesante</w:t>
            </w:r>
          </w:p>
        </w:tc>
        <w:tc>
          <w:tcPr>
            <w:tcW w:w="1298" w:type="dxa"/>
            <w:tcBorders>
              <w:top w:val="nil"/>
              <w:left w:val="nil"/>
              <w:bottom w:val="nil"/>
              <w:right w:val="nil"/>
            </w:tcBorders>
            <w:shd w:val="clear" w:color="auto" w:fill="auto"/>
            <w:noWrap/>
            <w:vAlign w:val="bottom"/>
            <w:hideMark/>
          </w:tcPr>
          <w:p w14:paraId="0E146418" w14:textId="77777777" w:rsidR="001526AE" w:rsidRPr="001526AE" w:rsidRDefault="001526AE" w:rsidP="001526AE">
            <w:pPr>
              <w:spacing w:after="0" w:line="240" w:lineRule="auto"/>
              <w:jc w:val="center"/>
              <w:rPr>
                <w:rFonts w:ascii="Times New Roman" w:eastAsia="Times New Roman" w:hAnsi="Times New Roman" w:cs="Times New Roman"/>
                <w:color w:val="000000"/>
                <w:lang w:eastAsia="es-CL"/>
              </w:rPr>
            </w:pPr>
            <w:r w:rsidRPr="001526AE">
              <w:rPr>
                <w:rFonts w:ascii="Times New Roman" w:eastAsia="Times New Roman" w:hAnsi="Times New Roman" w:cs="Times New Roman"/>
                <w:color w:val="000000"/>
                <w:lang w:eastAsia="es-CL"/>
              </w:rPr>
              <w:t>16,18</w:t>
            </w:r>
          </w:p>
        </w:tc>
        <w:tc>
          <w:tcPr>
            <w:tcW w:w="2100" w:type="dxa"/>
            <w:tcBorders>
              <w:top w:val="nil"/>
              <w:left w:val="nil"/>
              <w:bottom w:val="nil"/>
              <w:right w:val="nil"/>
            </w:tcBorders>
            <w:shd w:val="clear" w:color="auto" w:fill="auto"/>
            <w:noWrap/>
            <w:vAlign w:val="bottom"/>
            <w:hideMark/>
          </w:tcPr>
          <w:p w14:paraId="3F509BD9" w14:textId="77777777" w:rsidR="001526AE" w:rsidRPr="001526AE" w:rsidRDefault="001526AE" w:rsidP="001526AE">
            <w:pPr>
              <w:spacing w:after="0" w:line="240" w:lineRule="auto"/>
              <w:jc w:val="center"/>
              <w:rPr>
                <w:rFonts w:ascii="Times New Roman" w:eastAsia="Times New Roman" w:hAnsi="Times New Roman" w:cs="Times New Roman"/>
                <w:color w:val="000000"/>
                <w:lang w:eastAsia="es-CL"/>
              </w:rPr>
            </w:pPr>
            <w:r w:rsidRPr="001526AE">
              <w:rPr>
                <w:rFonts w:ascii="Times New Roman" w:eastAsia="Times New Roman" w:hAnsi="Times New Roman" w:cs="Times New Roman"/>
                <w:color w:val="000000"/>
                <w:lang w:eastAsia="es-CL"/>
              </w:rPr>
              <w:t>3,88</w:t>
            </w:r>
          </w:p>
        </w:tc>
      </w:tr>
      <w:tr w:rsidR="001526AE" w:rsidRPr="001526AE" w14:paraId="0C21C42C" w14:textId="77777777" w:rsidTr="00230BBA">
        <w:trPr>
          <w:trHeight w:val="288"/>
        </w:trPr>
        <w:tc>
          <w:tcPr>
            <w:tcW w:w="2410" w:type="dxa"/>
            <w:tcBorders>
              <w:top w:val="nil"/>
              <w:left w:val="nil"/>
              <w:bottom w:val="nil"/>
              <w:right w:val="nil"/>
            </w:tcBorders>
            <w:shd w:val="clear" w:color="auto" w:fill="auto"/>
            <w:noWrap/>
            <w:vAlign w:val="bottom"/>
            <w:hideMark/>
          </w:tcPr>
          <w:p w14:paraId="15C1407A" w14:textId="77777777" w:rsidR="001526AE" w:rsidRPr="001526AE" w:rsidRDefault="001526AE" w:rsidP="001526AE">
            <w:pPr>
              <w:spacing w:after="0" w:line="240" w:lineRule="auto"/>
              <w:jc w:val="center"/>
              <w:rPr>
                <w:rFonts w:ascii="Times New Roman" w:eastAsia="Times New Roman" w:hAnsi="Times New Roman" w:cs="Times New Roman"/>
                <w:color w:val="000000"/>
                <w:lang w:eastAsia="es-CL"/>
              </w:rPr>
            </w:pPr>
          </w:p>
        </w:tc>
        <w:tc>
          <w:tcPr>
            <w:tcW w:w="2552" w:type="dxa"/>
            <w:tcBorders>
              <w:top w:val="nil"/>
              <w:left w:val="nil"/>
              <w:bottom w:val="nil"/>
              <w:right w:val="nil"/>
            </w:tcBorders>
            <w:shd w:val="clear" w:color="auto" w:fill="auto"/>
            <w:noWrap/>
            <w:vAlign w:val="bottom"/>
            <w:hideMark/>
          </w:tcPr>
          <w:p w14:paraId="31D340D1" w14:textId="77777777" w:rsidR="001526AE" w:rsidRPr="001526AE" w:rsidRDefault="001526AE" w:rsidP="001526AE">
            <w:pPr>
              <w:spacing w:after="0" w:line="240" w:lineRule="auto"/>
              <w:rPr>
                <w:rFonts w:ascii="Times New Roman" w:eastAsia="Times New Roman" w:hAnsi="Times New Roman" w:cs="Times New Roman"/>
                <w:color w:val="000000"/>
                <w:lang w:eastAsia="es-CL"/>
              </w:rPr>
            </w:pPr>
            <w:r w:rsidRPr="001526AE">
              <w:rPr>
                <w:rFonts w:ascii="Times New Roman" w:eastAsia="Times New Roman" w:hAnsi="Times New Roman" w:cs="Times New Roman"/>
                <w:color w:val="000000"/>
                <w:lang w:eastAsia="es-CL"/>
              </w:rPr>
              <w:t>Con Licencia</w:t>
            </w:r>
          </w:p>
        </w:tc>
        <w:tc>
          <w:tcPr>
            <w:tcW w:w="1298" w:type="dxa"/>
            <w:tcBorders>
              <w:top w:val="nil"/>
              <w:left w:val="nil"/>
              <w:bottom w:val="nil"/>
              <w:right w:val="nil"/>
            </w:tcBorders>
            <w:shd w:val="clear" w:color="auto" w:fill="auto"/>
            <w:noWrap/>
            <w:vAlign w:val="bottom"/>
            <w:hideMark/>
          </w:tcPr>
          <w:p w14:paraId="106A6A1F" w14:textId="77777777" w:rsidR="001526AE" w:rsidRPr="001526AE" w:rsidRDefault="001526AE" w:rsidP="001526AE">
            <w:pPr>
              <w:spacing w:after="0" w:line="240" w:lineRule="auto"/>
              <w:jc w:val="center"/>
              <w:rPr>
                <w:rFonts w:ascii="Times New Roman" w:eastAsia="Times New Roman" w:hAnsi="Times New Roman" w:cs="Times New Roman"/>
                <w:color w:val="000000"/>
                <w:lang w:eastAsia="es-CL"/>
              </w:rPr>
            </w:pPr>
            <w:r w:rsidRPr="001526AE">
              <w:rPr>
                <w:rFonts w:ascii="Times New Roman" w:eastAsia="Times New Roman" w:hAnsi="Times New Roman" w:cs="Times New Roman"/>
                <w:color w:val="000000"/>
                <w:lang w:eastAsia="es-CL"/>
              </w:rPr>
              <w:t>10,29</w:t>
            </w:r>
          </w:p>
        </w:tc>
        <w:tc>
          <w:tcPr>
            <w:tcW w:w="2100" w:type="dxa"/>
            <w:tcBorders>
              <w:top w:val="nil"/>
              <w:left w:val="nil"/>
              <w:bottom w:val="nil"/>
              <w:right w:val="nil"/>
            </w:tcBorders>
            <w:shd w:val="clear" w:color="auto" w:fill="auto"/>
            <w:noWrap/>
            <w:vAlign w:val="bottom"/>
            <w:hideMark/>
          </w:tcPr>
          <w:p w14:paraId="5D75D2B8" w14:textId="77777777" w:rsidR="001526AE" w:rsidRPr="001526AE" w:rsidRDefault="001526AE" w:rsidP="001526AE">
            <w:pPr>
              <w:spacing w:after="0" w:line="240" w:lineRule="auto"/>
              <w:jc w:val="center"/>
              <w:rPr>
                <w:rFonts w:ascii="Times New Roman" w:eastAsia="Times New Roman" w:hAnsi="Times New Roman" w:cs="Times New Roman"/>
                <w:color w:val="000000"/>
                <w:lang w:eastAsia="es-CL"/>
              </w:rPr>
            </w:pPr>
            <w:r w:rsidRPr="001526AE">
              <w:rPr>
                <w:rFonts w:ascii="Times New Roman" w:eastAsia="Times New Roman" w:hAnsi="Times New Roman" w:cs="Times New Roman"/>
                <w:color w:val="000000"/>
                <w:lang w:eastAsia="es-CL"/>
              </w:rPr>
              <w:t>0,97</w:t>
            </w:r>
          </w:p>
        </w:tc>
      </w:tr>
      <w:tr w:rsidR="001526AE" w:rsidRPr="001526AE" w14:paraId="5C93AFAC" w14:textId="77777777" w:rsidTr="00230BBA">
        <w:trPr>
          <w:trHeight w:val="288"/>
        </w:trPr>
        <w:tc>
          <w:tcPr>
            <w:tcW w:w="2410" w:type="dxa"/>
            <w:tcBorders>
              <w:top w:val="nil"/>
              <w:left w:val="nil"/>
              <w:bottom w:val="nil"/>
              <w:right w:val="nil"/>
            </w:tcBorders>
            <w:shd w:val="clear" w:color="auto" w:fill="auto"/>
            <w:noWrap/>
            <w:vAlign w:val="bottom"/>
            <w:hideMark/>
          </w:tcPr>
          <w:p w14:paraId="066F91F9" w14:textId="77777777" w:rsidR="001526AE" w:rsidRPr="001526AE" w:rsidRDefault="001526AE" w:rsidP="001526AE">
            <w:pPr>
              <w:spacing w:after="0" w:line="240" w:lineRule="auto"/>
              <w:jc w:val="center"/>
              <w:rPr>
                <w:rFonts w:ascii="Times New Roman" w:eastAsia="Times New Roman" w:hAnsi="Times New Roman" w:cs="Times New Roman"/>
                <w:color w:val="000000"/>
                <w:lang w:eastAsia="es-CL"/>
              </w:rPr>
            </w:pPr>
          </w:p>
        </w:tc>
        <w:tc>
          <w:tcPr>
            <w:tcW w:w="2552" w:type="dxa"/>
            <w:tcBorders>
              <w:top w:val="nil"/>
              <w:left w:val="nil"/>
              <w:bottom w:val="nil"/>
              <w:right w:val="nil"/>
            </w:tcBorders>
            <w:shd w:val="clear" w:color="auto" w:fill="auto"/>
            <w:noWrap/>
            <w:vAlign w:val="bottom"/>
            <w:hideMark/>
          </w:tcPr>
          <w:p w14:paraId="013FA39A" w14:textId="77777777" w:rsidR="001526AE" w:rsidRPr="001526AE" w:rsidRDefault="001526AE" w:rsidP="001526AE">
            <w:pPr>
              <w:spacing w:after="0" w:line="240" w:lineRule="auto"/>
              <w:rPr>
                <w:rFonts w:ascii="Times New Roman" w:eastAsia="Times New Roman" w:hAnsi="Times New Roman" w:cs="Times New Roman"/>
                <w:color w:val="000000"/>
                <w:lang w:eastAsia="es-CL"/>
              </w:rPr>
            </w:pPr>
            <w:r w:rsidRPr="001526AE">
              <w:rPr>
                <w:rFonts w:ascii="Times New Roman" w:eastAsia="Times New Roman" w:hAnsi="Times New Roman" w:cs="Times New Roman"/>
                <w:color w:val="000000"/>
                <w:lang w:eastAsia="es-CL"/>
              </w:rPr>
              <w:t>Pensionado por Invalidez</w:t>
            </w:r>
          </w:p>
        </w:tc>
        <w:tc>
          <w:tcPr>
            <w:tcW w:w="1298" w:type="dxa"/>
            <w:tcBorders>
              <w:top w:val="nil"/>
              <w:left w:val="nil"/>
              <w:bottom w:val="nil"/>
              <w:right w:val="nil"/>
            </w:tcBorders>
            <w:shd w:val="clear" w:color="auto" w:fill="auto"/>
            <w:noWrap/>
            <w:vAlign w:val="bottom"/>
            <w:hideMark/>
          </w:tcPr>
          <w:p w14:paraId="0173E985" w14:textId="77777777" w:rsidR="001526AE" w:rsidRPr="001526AE" w:rsidRDefault="001526AE" w:rsidP="001526AE">
            <w:pPr>
              <w:spacing w:after="0" w:line="240" w:lineRule="auto"/>
              <w:jc w:val="center"/>
              <w:rPr>
                <w:rFonts w:ascii="Times New Roman" w:eastAsia="Times New Roman" w:hAnsi="Times New Roman" w:cs="Times New Roman"/>
                <w:color w:val="000000"/>
                <w:lang w:eastAsia="es-CL"/>
              </w:rPr>
            </w:pPr>
            <w:r w:rsidRPr="001526AE">
              <w:rPr>
                <w:rFonts w:ascii="Times New Roman" w:eastAsia="Times New Roman" w:hAnsi="Times New Roman" w:cs="Times New Roman"/>
                <w:color w:val="000000"/>
                <w:lang w:eastAsia="es-CL"/>
              </w:rPr>
              <w:t>7,35</w:t>
            </w:r>
          </w:p>
        </w:tc>
        <w:tc>
          <w:tcPr>
            <w:tcW w:w="2100" w:type="dxa"/>
            <w:tcBorders>
              <w:top w:val="nil"/>
              <w:left w:val="nil"/>
              <w:bottom w:val="nil"/>
              <w:right w:val="nil"/>
            </w:tcBorders>
            <w:shd w:val="clear" w:color="auto" w:fill="auto"/>
            <w:noWrap/>
            <w:vAlign w:val="bottom"/>
            <w:hideMark/>
          </w:tcPr>
          <w:p w14:paraId="56D24AFD" w14:textId="77777777" w:rsidR="001526AE" w:rsidRPr="001526AE" w:rsidRDefault="001526AE" w:rsidP="001526AE">
            <w:pPr>
              <w:spacing w:after="0" w:line="240" w:lineRule="auto"/>
              <w:jc w:val="center"/>
              <w:rPr>
                <w:rFonts w:ascii="Times New Roman" w:eastAsia="Times New Roman" w:hAnsi="Times New Roman" w:cs="Times New Roman"/>
                <w:color w:val="000000"/>
                <w:lang w:eastAsia="es-CL"/>
              </w:rPr>
            </w:pPr>
            <w:r w:rsidRPr="001526AE">
              <w:rPr>
                <w:rFonts w:ascii="Times New Roman" w:eastAsia="Times New Roman" w:hAnsi="Times New Roman" w:cs="Times New Roman"/>
                <w:color w:val="000000"/>
                <w:lang w:eastAsia="es-CL"/>
              </w:rPr>
              <w:t>1,94</w:t>
            </w:r>
          </w:p>
        </w:tc>
      </w:tr>
      <w:tr w:rsidR="001526AE" w:rsidRPr="001526AE" w14:paraId="71A139C2" w14:textId="77777777" w:rsidTr="00230BBA">
        <w:trPr>
          <w:trHeight w:val="288"/>
        </w:trPr>
        <w:tc>
          <w:tcPr>
            <w:tcW w:w="2410" w:type="dxa"/>
            <w:tcBorders>
              <w:top w:val="nil"/>
              <w:left w:val="nil"/>
              <w:bottom w:val="nil"/>
              <w:right w:val="nil"/>
            </w:tcBorders>
            <w:shd w:val="clear" w:color="auto" w:fill="auto"/>
            <w:noWrap/>
            <w:vAlign w:val="bottom"/>
            <w:hideMark/>
          </w:tcPr>
          <w:p w14:paraId="28C75053" w14:textId="77777777" w:rsidR="001526AE" w:rsidRPr="001526AE" w:rsidRDefault="001526AE" w:rsidP="001526AE">
            <w:pPr>
              <w:spacing w:after="0" w:line="240" w:lineRule="auto"/>
              <w:jc w:val="center"/>
              <w:rPr>
                <w:rFonts w:ascii="Times New Roman" w:eastAsia="Times New Roman" w:hAnsi="Times New Roman" w:cs="Times New Roman"/>
                <w:color w:val="000000"/>
                <w:lang w:eastAsia="es-CL"/>
              </w:rPr>
            </w:pPr>
          </w:p>
        </w:tc>
        <w:tc>
          <w:tcPr>
            <w:tcW w:w="2552" w:type="dxa"/>
            <w:tcBorders>
              <w:top w:val="nil"/>
              <w:left w:val="nil"/>
              <w:bottom w:val="nil"/>
              <w:right w:val="nil"/>
            </w:tcBorders>
            <w:shd w:val="clear" w:color="auto" w:fill="auto"/>
            <w:noWrap/>
            <w:vAlign w:val="bottom"/>
            <w:hideMark/>
          </w:tcPr>
          <w:p w14:paraId="016136C7" w14:textId="77777777" w:rsidR="001526AE" w:rsidRPr="001526AE" w:rsidRDefault="001526AE" w:rsidP="001526AE">
            <w:pPr>
              <w:spacing w:after="0" w:line="240" w:lineRule="auto"/>
              <w:rPr>
                <w:rFonts w:ascii="Times New Roman" w:eastAsia="Times New Roman" w:hAnsi="Times New Roman" w:cs="Times New Roman"/>
                <w:color w:val="000000"/>
                <w:lang w:eastAsia="es-CL"/>
              </w:rPr>
            </w:pPr>
            <w:r w:rsidRPr="001526AE">
              <w:rPr>
                <w:rFonts w:ascii="Times New Roman" w:eastAsia="Times New Roman" w:hAnsi="Times New Roman" w:cs="Times New Roman"/>
                <w:color w:val="000000"/>
                <w:lang w:eastAsia="es-CL"/>
              </w:rPr>
              <w:t>Jubilado</w:t>
            </w:r>
          </w:p>
        </w:tc>
        <w:tc>
          <w:tcPr>
            <w:tcW w:w="1298" w:type="dxa"/>
            <w:tcBorders>
              <w:top w:val="nil"/>
              <w:left w:val="nil"/>
              <w:bottom w:val="nil"/>
              <w:right w:val="nil"/>
            </w:tcBorders>
            <w:shd w:val="clear" w:color="auto" w:fill="auto"/>
            <w:noWrap/>
            <w:vAlign w:val="bottom"/>
            <w:hideMark/>
          </w:tcPr>
          <w:p w14:paraId="097F33BB" w14:textId="77777777" w:rsidR="001526AE" w:rsidRPr="001526AE" w:rsidRDefault="001526AE" w:rsidP="001526AE">
            <w:pPr>
              <w:spacing w:after="0" w:line="240" w:lineRule="auto"/>
              <w:jc w:val="center"/>
              <w:rPr>
                <w:rFonts w:ascii="Times New Roman" w:eastAsia="Times New Roman" w:hAnsi="Times New Roman" w:cs="Times New Roman"/>
                <w:color w:val="000000"/>
                <w:lang w:eastAsia="es-CL"/>
              </w:rPr>
            </w:pPr>
            <w:r w:rsidRPr="001526AE">
              <w:rPr>
                <w:rFonts w:ascii="Times New Roman" w:eastAsia="Times New Roman" w:hAnsi="Times New Roman" w:cs="Times New Roman"/>
                <w:color w:val="000000"/>
                <w:lang w:eastAsia="es-CL"/>
              </w:rPr>
              <w:t>10,29</w:t>
            </w:r>
          </w:p>
        </w:tc>
        <w:tc>
          <w:tcPr>
            <w:tcW w:w="2100" w:type="dxa"/>
            <w:tcBorders>
              <w:top w:val="nil"/>
              <w:left w:val="nil"/>
              <w:bottom w:val="nil"/>
              <w:right w:val="nil"/>
            </w:tcBorders>
            <w:shd w:val="clear" w:color="auto" w:fill="auto"/>
            <w:noWrap/>
            <w:vAlign w:val="bottom"/>
            <w:hideMark/>
          </w:tcPr>
          <w:p w14:paraId="6FF052B1" w14:textId="77777777" w:rsidR="001526AE" w:rsidRPr="001526AE" w:rsidRDefault="001526AE" w:rsidP="001526AE">
            <w:pPr>
              <w:spacing w:after="0" w:line="240" w:lineRule="auto"/>
              <w:jc w:val="center"/>
              <w:rPr>
                <w:rFonts w:ascii="Times New Roman" w:eastAsia="Times New Roman" w:hAnsi="Times New Roman" w:cs="Times New Roman"/>
                <w:color w:val="000000"/>
                <w:lang w:eastAsia="es-CL"/>
              </w:rPr>
            </w:pPr>
            <w:r w:rsidRPr="001526AE">
              <w:rPr>
                <w:rFonts w:ascii="Times New Roman" w:eastAsia="Times New Roman" w:hAnsi="Times New Roman" w:cs="Times New Roman"/>
                <w:color w:val="000000"/>
                <w:lang w:eastAsia="es-CL"/>
              </w:rPr>
              <w:t>0,97</w:t>
            </w:r>
          </w:p>
        </w:tc>
      </w:tr>
      <w:tr w:rsidR="001526AE" w:rsidRPr="001526AE" w14:paraId="30E0A237" w14:textId="77777777" w:rsidTr="00230BBA">
        <w:trPr>
          <w:trHeight w:val="288"/>
        </w:trPr>
        <w:tc>
          <w:tcPr>
            <w:tcW w:w="2410" w:type="dxa"/>
            <w:tcBorders>
              <w:top w:val="nil"/>
              <w:left w:val="nil"/>
              <w:bottom w:val="single" w:sz="4" w:space="0" w:color="auto"/>
              <w:right w:val="nil"/>
            </w:tcBorders>
            <w:shd w:val="clear" w:color="auto" w:fill="auto"/>
            <w:noWrap/>
            <w:vAlign w:val="bottom"/>
            <w:hideMark/>
          </w:tcPr>
          <w:p w14:paraId="5131CDD3" w14:textId="77777777" w:rsidR="001526AE" w:rsidRPr="001526AE" w:rsidRDefault="001526AE" w:rsidP="001526AE">
            <w:pPr>
              <w:spacing w:after="0" w:line="240" w:lineRule="auto"/>
              <w:rPr>
                <w:rFonts w:ascii="Times New Roman" w:eastAsia="Times New Roman" w:hAnsi="Times New Roman" w:cs="Times New Roman"/>
                <w:color w:val="000000"/>
                <w:lang w:eastAsia="es-CL"/>
              </w:rPr>
            </w:pPr>
            <w:r w:rsidRPr="001526AE">
              <w:rPr>
                <w:rFonts w:ascii="Times New Roman" w:eastAsia="Times New Roman" w:hAnsi="Times New Roman" w:cs="Times New Roman"/>
                <w:color w:val="000000"/>
                <w:lang w:eastAsia="es-CL"/>
              </w:rPr>
              <w:t>Enfermedad Física [%]</w:t>
            </w:r>
          </w:p>
        </w:tc>
        <w:tc>
          <w:tcPr>
            <w:tcW w:w="2552" w:type="dxa"/>
            <w:tcBorders>
              <w:top w:val="nil"/>
              <w:left w:val="nil"/>
              <w:bottom w:val="single" w:sz="4" w:space="0" w:color="auto"/>
              <w:right w:val="nil"/>
            </w:tcBorders>
            <w:shd w:val="clear" w:color="auto" w:fill="auto"/>
            <w:noWrap/>
            <w:vAlign w:val="bottom"/>
            <w:hideMark/>
          </w:tcPr>
          <w:p w14:paraId="7EB1E559" w14:textId="77777777" w:rsidR="001526AE" w:rsidRPr="001526AE" w:rsidRDefault="001526AE" w:rsidP="001526AE">
            <w:pPr>
              <w:spacing w:after="0" w:line="240" w:lineRule="auto"/>
              <w:rPr>
                <w:rFonts w:ascii="Times New Roman" w:eastAsia="Times New Roman" w:hAnsi="Times New Roman" w:cs="Times New Roman"/>
                <w:color w:val="000000"/>
                <w:lang w:eastAsia="es-CL"/>
              </w:rPr>
            </w:pPr>
            <w:r w:rsidRPr="001526AE">
              <w:rPr>
                <w:rFonts w:ascii="Times New Roman" w:eastAsia="Times New Roman" w:hAnsi="Times New Roman" w:cs="Times New Roman"/>
                <w:color w:val="000000"/>
                <w:lang w:eastAsia="es-CL"/>
              </w:rPr>
              <w:t> </w:t>
            </w:r>
          </w:p>
        </w:tc>
        <w:tc>
          <w:tcPr>
            <w:tcW w:w="1298" w:type="dxa"/>
            <w:tcBorders>
              <w:top w:val="nil"/>
              <w:left w:val="nil"/>
              <w:bottom w:val="single" w:sz="4" w:space="0" w:color="auto"/>
              <w:right w:val="nil"/>
            </w:tcBorders>
            <w:shd w:val="clear" w:color="auto" w:fill="auto"/>
            <w:noWrap/>
            <w:vAlign w:val="bottom"/>
            <w:hideMark/>
          </w:tcPr>
          <w:p w14:paraId="09B89566" w14:textId="77777777" w:rsidR="001526AE" w:rsidRPr="001526AE" w:rsidRDefault="001526AE" w:rsidP="001526AE">
            <w:pPr>
              <w:spacing w:after="0" w:line="240" w:lineRule="auto"/>
              <w:jc w:val="center"/>
              <w:rPr>
                <w:rFonts w:ascii="Times New Roman" w:eastAsia="Times New Roman" w:hAnsi="Times New Roman" w:cs="Times New Roman"/>
                <w:color w:val="000000"/>
                <w:lang w:eastAsia="es-CL"/>
              </w:rPr>
            </w:pPr>
            <w:r w:rsidRPr="001526AE">
              <w:rPr>
                <w:rFonts w:ascii="Times New Roman" w:eastAsia="Times New Roman" w:hAnsi="Times New Roman" w:cs="Times New Roman"/>
                <w:color w:val="000000"/>
                <w:lang w:eastAsia="es-CL"/>
              </w:rPr>
              <w:t>59,4</w:t>
            </w:r>
          </w:p>
        </w:tc>
        <w:tc>
          <w:tcPr>
            <w:tcW w:w="2100" w:type="dxa"/>
            <w:tcBorders>
              <w:top w:val="nil"/>
              <w:left w:val="nil"/>
              <w:bottom w:val="single" w:sz="4" w:space="0" w:color="auto"/>
              <w:right w:val="nil"/>
            </w:tcBorders>
            <w:shd w:val="clear" w:color="auto" w:fill="auto"/>
            <w:noWrap/>
            <w:vAlign w:val="bottom"/>
            <w:hideMark/>
          </w:tcPr>
          <w:p w14:paraId="09482C85" w14:textId="77777777" w:rsidR="001526AE" w:rsidRPr="001526AE" w:rsidRDefault="001526AE" w:rsidP="001526AE">
            <w:pPr>
              <w:spacing w:after="0" w:line="240" w:lineRule="auto"/>
              <w:jc w:val="center"/>
              <w:rPr>
                <w:rFonts w:ascii="Times New Roman" w:eastAsia="Times New Roman" w:hAnsi="Times New Roman" w:cs="Times New Roman"/>
                <w:color w:val="000000"/>
                <w:lang w:eastAsia="es-CL"/>
              </w:rPr>
            </w:pPr>
            <w:r w:rsidRPr="001526AE">
              <w:rPr>
                <w:rFonts w:ascii="Times New Roman" w:eastAsia="Times New Roman" w:hAnsi="Times New Roman" w:cs="Times New Roman"/>
                <w:color w:val="000000"/>
                <w:lang w:eastAsia="es-CL"/>
              </w:rPr>
              <w:t>56,9</w:t>
            </w:r>
          </w:p>
        </w:tc>
      </w:tr>
    </w:tbl>
    <w:p w14:paraId="5B0536CE" w14:textId="721457DF" w:rsidR="00517BA9" w:rsidRDefault="00517BA9" w:rsidP="00D4686E">
      <w:pPr>
        <w:spacing w:after="0" w:line="240" w:lineRule="auto"/>
        <w:jc w:val="both"/>
        <w:rPr>
          <w:rFonts w:ascii="Times New Roman" w:hAnsi="Times New Roman" w:cs="Times New Roman"/>
          <w:b/>
          <w:sz w:val="20"/>
          <w:szCs w:val="20"/>
        </w:rPr>
      </w:pPr>
    </w:p>
    <w:p w14:paraId="117BFA74" w14:textId="77777777" w:rsidR="00517BA9" w:rsidRDefault="00517BA9" w:rsidP="00D4686E">
      <w:pPr>
        <w:spacing w:after="0" w:line="240" w:lineRule="auto"/>
        <w:jc w:val="both"/>
        <w:rPr>
          <w:rFonts w:ascii="Times New Roman" w:hAnsi="Times New Roman" w:cs="Times New Roman"/>
          <w:b/>
          <w:sz w:val="20"/>
          <w:szCs w:val="20"/>
        </w:rPr>
      </w:pPr>
    </w:p>
    <w:p w14:paraId="1305833B" w14:textId="4DEBB8E1" w:rsidR="00CF1ED3" w:rsidRDefault="00CF1ED3" w:rsidP="00D4686E">
      <w:pPr>
        <w:spacing w:after="0" w:line="240" w:lineRule="auto"/>
        <w:jc w:val="both"/>
        <w:rPr>
          <w:rFonts w:ascii="Times New Roman" w:hAnsi="Times New Roman" w:cs="Times New Roman"/>
          <w:b/>
          <w:sz w:val="20"/>
          <w:szCs w:val="20"/>
        </w:rPr>
      </w:pPr>
    </w:p>
    <w:p w14:paraId="672069BA" w14:textId="36418DF5" w:rsidR="00CF1ED3" w:rsidRPr="00CF1ED3" w:rsidRDefault="00CF1ED3" w:rsidP="00D4686E">
      <w:pPr>
        <w:spacing w:after="0" w:line="240" w:lineRule="auto"/>
        <w:jc w:val="both"/>
        <w:rPr>
          <w:rFonts w:ascii="Times New Roman" w:hAnsi="Times New Roman" w:cs="Times New Roman"/>
          <w:sz w:val="20"/>
          <w:szCs w:val="20"/>
        </w:rPr>
      </w:pPr>
      <w:r>
        <w:rPr>
          <w:rFonts w:ascii="Times New Roman" w:hAnsi="Times New Roman" w:cs="Times New Roman"/>
          <w:b/>
          <w:sz w:val="20"/>
          <w:szCs w:val="20"/>
        </w:rPr>
        <w:t xml:space="preserve">Tabla 3.2. </w:t>
      </w:r>
      <w:r>
        <w:rPr>
          <w:rFonts w:ascii="Times New Roman" w:hAnsi="Times New Roman" w:cs="Times New Roman"/>
          <w:sz w:val="20"/>
          <w:szCs w:val="20"/>
        </w:rPr>
        <w:t xml:space="preserve">Comparación de las características </w:t>
      </w:r>
      <w:r w:rsidR="00040D18">
        <w:rPr>
          <w:rFonts w:ascii="Times New Roman" w:hAnsi="Times New Roman" w:cs="Times New Roman"/>
          <w:sz w:val="20"/>
          <w:szCs w:val="20"/>
        </w:rPr>
        <w:t>clínicas</w:t>
      </w:r>
      <w:r>
        <w:rPr>
          <w:rFonts w:ascii="Times New Roman" w:hAnsi="Times New Roman" w:cs="Times New Roman"/>
          <w:sz w:val="20"/>
          <w:szCs w:val="20"/>
        </w:rPr>
        <w:t xml:space="preserve"> de pacientes depresivos atendidos en COSAM y en Centros de Atención Universitarios</w:t>
      </w:r>
    </w:p>
    <w:tbl>
      <w:tblPr>
        <w:tblW w:w="9923" w:type="dxa"/>
        <w:tblInd w:w="70" w:type="dxa"/>
        <w:tblCellMar>
          <w:left w:w="70" w:type="dxa"/>
          <w:right w:w="70" w:type="dxa"/>
        </w:tblCellMar>
        <w:tblLook w:val="04A0" w:firstRow="1" w:lastRow="0" w:firstColumn="1" w:lastColumn="0" w:noHBand="0" w:noVBand="1"/>
      </w:tblPr>
      <w:tblGrid>
        <w:gridCol w:w="2552"/>
        <w:gridCol w:w="3164"/>
        <w:gridCol w:w="1372"/>
        <w:gridCol w:w="2140"/>
        <w:gridCol w:w="695"/>
      </w:tblGrid>
      <w:tr w:rsidR="00CF1ED3" w:rsidRPr="00CF1ED3" w14:paraId="20FB469C" w14:textId="77777777" w:rsidTr="009E07FD">
        <w:trPr>
          <w:trHeight w:val="576"/>
        </w:trPr>
        <w:tc>
          <w:tcPr>
            <w:tcW w:w="2552" w:type="dxa"/>
            <w:tcBorders>
              <w:top w:val="nil"/>
              <w:left w:val="nil"/>
              <w:bottom w:val="single" w:sz="4" w:space="0" w:color="auto"/>
              <w:right w:val="nil"/>
            </w:tcBorders>
            <w:shd w:val="clear" w:color="auto" w:fill="auto"/>
            <w:noWrap/>
            <w:vAlign w:val="bottom"/>
            <w:hideMark/>
          </w:tcPr>
          <w:p w14:paraId="049A6761" w14:textId="77777777" w:rsidR="00CF1ED3" w:rsidRPr="00CF1ED3" w:rsidRDefault="00CF1ED3" w:rsidP="00CF1ED3">
            <w:pPr>
              <w:spacing w:after="0" w:line="240" w:lineRule="auto"/>
              <w:rPr>
                <w:rFonts w:ascii="Times New Roman" w:eastAsia="Times New Roman" w:hAnsi="Times New Roman" w:cs="Times New Roman"/>
                <w:color w:val="000000"/>
                <w:lang w:eastAsia="es-CL"/>
              </w:rPr>
            </w:pPr>
            <w:r w:rsidRPr="00CF1ED3">
              <w:rPr>
                <w:rFonts w:ascii="Times New Roman" w:eastAsia="Times New Roman" w:hAnsi="Times New Roman" w:cs="Times New Roman"/>
                <w:color w:val="000000"/>
                <w:lang w:eastAsia="es-CL"/>
              </w:rPr>
              <w:t> </w:t>
            </w:r>
          </w:p>
        </w:tc>
        <w:tc>
          <w:tcPr>
            <w:tcW w:w="3164" w:type="dxa"/>
            <w:tcBorders>
              <w:top w:val="nil"/>
              <w:left w:val="nil"/>
              <w:bottom w:val="single" w:sz="4" w:space="0" w:color="auto"/>
              <w:right w:val="nil"/>
            </w:tcBorders>
            <w:shd w:val="clear" w:color="auto" w:fill="auto"/>
            <w:noWrap/>
            <w:vAlign w:val="bottom"/>
            <w:hideMark/>
          </w:tcPr>
          <w:p w14:paraId="327CB6A0" w14:textId="77777777" w:rsidR="00CF1ED3" w:rsidRPr="00CF1ED3" w:rsidRDefault="00CF1ED3" w:rsidP="00CF1ED3">
            <w:pPr>
              <w:spacing w:after="0" w:line="240" w:lineRule="auto"/>
              <w:rPr>
                <w:rFonts w:ascii="Times New Roman" w:eastAsia="Times New Roman" w:hAnsi="Times New Roman" w:cs="Times New Roman"/>
                <w:color w:val="000000"/>
                <w:lang w:eastAsia="es-CL"/>
              </w:rPr>
            </w:pPr>
            <w:r w:rsidRPr="00CF1ED3">
              <w:rPr>
                <w:rFonts w:ascii="Times New Roman" w:eastAsia="Times New Roman" w:hAnsi="Times New Roman" w:cs="Times New Roman"/>
                <w:color w:val="000000"/>
                <w:lang w:eastAsia="es-CL"/>
              </w:rPr>
              <w:t> </w:t>
            </w:r>
          </w:p>
        </w:tc>
        <w:tc>
          <w:tcPr>
            <w:tcW w:w="1372" w:type="dxa"/>
            <w:tcBorders>
              <w:top w:val="single" w:sz="4" w:space="0" w:color="auto"/>
              <w:left w:val="nil"/>
              <w:bottom w:val="single" w:sz="4" w:space="0" w:color="auto"/>
              <w:right w:val="nil"/>
            </w:tcBorders>
            <w:shd w:val="clear" w:color="auto" w:fill="auto"/>
            <w:noWrap/>
            <w:vAlign w:val="bottom"/>
            <w:hideMark/>
          </w:tcPr>
          <w:p w14:paraId="7576EF6A" w14:textId="77777777" w:rsidR="00CF1ED3" w:rsidRPr="00CF1ED3" w:rsidRDefault="00CF1ED3" w:rsidP="0052103D">
            <w:pPr>
              <w:spacing w:after="0" w:line="240" w:lineRule="auto"/>
              <w:jc w:val="center"/>
              <w:rPr>
                <w:rFonts w:ascii="Times New Roman" w:eastAsia="Times New Roman" w:hAnsi="Times New Roman" w:cs="Times New Roman"/>
                <w:color w:val="000000"/>
                <w:lang w:eastAsia="es-CL"/>
              </w:rPr>
            </w:pPr>
            <w:proofErr w:type="spellStart"/>
            <w:r w:rsidRPr="00CF1ED3">
              <w:rPr>
                <w:rFonts w:ascii="Times New Roman" w:eastAsia="Times New Roman" w:hAnsi="Times New Roman" w:cs="Times New Roman"/>
                <w:color w:val="000000"/>
                <w:lang w:eastAsia="es-CL"/>
              </w:rPr>
              <w:t>COSAMs</w:t>
            </w:r>
            <w:proofErr w:type="spellEnd"/>
          </w:p>
        </w:tc>
        <w:tc>
          <w:tcPr>
            <w:tcW w:w="2140" w:type="dxa"/>
            <w:tcBorders>
              <w:top w:val="single" w:sz="4" w:space="0" w:color="auto"/>
              <w:left w:val="nil"/>
              <w:bottom w:val="single" w:sz="4" w:space="0" w:color="auto"/>
              <w:right w:val="nil"/>
            </w:tcBorders>
            <w:shd w:val="clear" w:color="auto" w:fill="auto"/>
            <w:vAlign w:val="bottom"/>
            <w:hideMark/>
          </w:tcPr>
          <w:p w14:paraId="6ECBA6CC" w14:textId="77777777" w:rsidR="00CF1ED3" w:rsidRPr="00CF1ED3" w:rsidRDefault="00CF1ED3" w:rsidP="0052103D">
            <w:pPr>
              <w:spacing w:after="0" w:line="240" w:lineRule="auto"/>
              <w:jc w:val="center"/>
              <w:rPr>
                <w:rFonts w:ascii="Times New Roman" w:eastAsia="Times New Roman" w:hAnsi="Times New Roman" w:cs="Times New Roman"/>
                <w:color w:val="000000"/>
                <w:lang w:eastAsia="es-CL"/>
              </w:rPr>
            </w:pPr>
            <w:r w:rsidRPr="00CF1ED3">
              <w:rPr>
                <w:rFonts w:ascii="Times New Roman" w:eastAsia="Times New Roman" w:hAnsi="Times New Roman" w:cs="Times New Roman"/>
                <w:color w:val="000000"/>
                <w:lang w:eastAsia="es-CL"/>
              </w:rPr>
              <w:t>Centros de Atención Universitaria</w:t>
            </w:r>
          </w:p>
        </w:tc>
        <w:tc>
          <w:tcPr>
            <w:tcW w:w="695" w:type="dxa"/>
            <w:tcBorders>
              <w:top w:val="single" w:sz="4" w:space="0" w:color="auto"/>
              <w:left w:val="nil"/>
              <w:bottom w:val="single" w:sz="4" w:space="0" w:color="auto"/>
              <w:right w:val="nil"/>
            </w:tcBorders>
            <w:shd w:val="clear" w:color="auto" w:fill="auto"/>
            <w:noWrap/>
            <w:vAlign w:val="bottom"/>
            <w:hideMark/>
          </w:tcPr>
          <w:p w14:paraId="15CAD287" w14:textId="77777777" w:rsidR="00CF1ED3" w:rsidRPr="00CF1ED3" w:rsidRDefault="00CF1ED3" w:rsidP="00CF1ED3">
            <w:pPr>
              <w:spacing w:after="0" w:line="240" w:lineRule="auto"/>
              <w:rPr>
                <w:rFonts w:ascii="Times New Roman" w:eastAsia="Times New Roman" w:hAnsi="Times New Roman" w:cs="Times New Roman"/>
                <w:color w:val="000000"/>
                <w:lang w:eastAsia="es-CL"/>
              </w:rPr>
            </w:pPr>
            <w:r w:rsidRPr="00CF1ED3">
              <w:rPr>
                <w:rFonts w:ascii="Times New Roman" w:eastAsia="Times New Roman" w:hAnsi="Times New Roman" w:cs="Times New Roman"/>
                <w:color w:val="000000"/>
                <w:lang w:eastAsia="es-CL"/>
              </w:rPr>
              <w:t> </w:t>
            </w:r>
          </w:p>
        </w:tc>
      </w:tr>
      <w:tr w:rsidR="00CF1ED3" w:rsidRPr="00CF1ED3" w14:paraId="3DF0169F" w14:textId="77777777" w:rsidTr="009E07FD">
        <w:trPr>
          <w:trHeight w:val="288"/>
        </w:trPr>
        <w:tc>
          <w:tcPr>
            <w:tcW w:w="5716" w:type="dxa"/>
            <w:gridSpan w:val="2"/>
            <w:tcBorders>
              <w:top w:val="nil"/>
              <w:left w:val="nil"/>
              <w:bottom w:val="nil"/>
              <w:right w:val="nil"/>
            </w:tcBorders>
            <w:shd w:val="clear" w:color="auto" w:fill="auto"/>
            <w:noWrap/>
            <w:vAlign w:val="bottom"/>
            <w:hideMark/>
          </w:tcPr>
          <w:p w14:paraId="62D07FAC" w14:textId="77777777" w:rsidR="00CF1ED3" w:rsidRPr="00CF1ED3" w:rsidRDefault="00CF1ED3" w:rsidP="00CF1ED3">
            <w:pPr>
              <w:spacing w:after="0" w:line="240" w:lineRule="auto"/>
              <w:rPr>
                <w:rFonts w:ascii="Times New Roman" w:eastAsia="Times New Roman" w:hAnsi="Times New Roman" w:cs="Times New Roman"/>
                <w:color w:val="000000"/>
                <w:lang w:eastAsia="es-CL"/>
              </w:rPr>
            </w:pPr>
            <w:r w:rsidRPr="00CF1ED3">
              <w:rPr>
                <w:rFonts w:ascii="Times New Roman" w:eastAsia="Times New Roman" w:hAnsi="Times New Roman" w:cs="Times New Roman"/>
                <w:color w:val="000000"/>
                <w:lang w:eastAsia="es-CL"/>
              </w:rPr>
              <w:t>BDI [Media (DS)]</w:t>
            </w:r>
          </w:p>
        </w:tc>
        <w:tc>
          <w:tcPr>
            <w:tcW w:w="1372" w:type="dxa"/>
            <w:tcBorders>
              <w:top w:val="nil"/>
              <w:left w:val="nil"/>
              <w:bottom w:val="nil"/>
              <w:right w:val="nil"/>
            </w:tcBorders>
            <w:shd w:val="clear" w:color="auto" w:fill="auto"/>
            <w:noWrap/>
            <w:vAlign w:val="bottom"/>
            <w:hideMark/>
          </w:tcPr>
          <w:p w14:paraId="73BEE1BE" w14:textId="77777777" w:rsidR="00CF1ED3" w:rsidRPr="00CF1ED3" w:rsidRDefault="00CF1ED3" w:rsidP="00CF1ED3">
            <w:pPr>
              <w:spacing w:after="0" w:line="240" w:lineRule="auto"/>
              <w:jc w:val="center"/>
              <w:rPr>
                <w:rFonts w:ascii="Times New Roman" w:eastAsia="Times New Roman" w:hAnsi="Times New Roman" w:cs="Times New Roman"/>
                <w:color w:val="000000"/>
                <w:lang w:eastAsia="es-CL"/>
              </w:rPr>
            </w:pPr>
            <w:r w:rsidRPr="00CF1ED3">
              <w:rPr>
                <w:rFonts w:ascii="Times New Roman" w:eastAsia="Times New Roman" w:hAnsi="Times New Roman" w:cs="Times New Roman"/>
                <w:color w:val="000000"/>
                <w:lang w:eastAsia="es-CL"/>
              </w:rPr>
              <w:t>27,96 (11,30)</w:t>
            </w:r>
          </w:p>
        </w:tc>
        <w:tc>
          <w:tcPr>
            <w:tcW w:w="2140" w:type="dxa"/>
            <w:tcBorders>
              <w:top w:val="nil"/>
              <w:left w:val="nil"/>
              <w:bottom w:val="nil"/>
              <w:right w:val="nil"/>
            </w:tcBorders>
            <w:shd w:val="clear" w:color="auto" w:fill="auto"/>
            <w:noWrap/>
            <w:vAlign w:val="bottom"/>
            <w:hideMark/>
          </w:tcPr>
          <w:p w14:paraId="7CE72451" w14:textId="77777777" w:rsidR="00CF1ED3" w:rsidRPr="00CF1ED3" w:rsidRDefault="00CF1ED3" w:rsidP="00CF1ED3">
            <w:pPr>
              <w:spacing w:after="0" w:line="240" w:lineRule="auto"/>
              <w:jc w:val="center"/>
              <w:rPr>
                <w:rFonts w:ascii="Times New Roman" w:eastAsia="Times New Roman" w:hAnsi="Times New Roman" w:cs="Times New Roman"/>
                <w:color w:val="000000"/>
                <w:lang w:eastAsia="es-CL"/>
              </w:rPr>
            </w:pPr>
            <w:r w:rsidRPr="00CF1ED3">
              <w:rPr>
                <w:rFonts w:ascii="Times New Roman" w:eastAsia="Times New Roman" w:hAnsi="Times New Roman" w:cs="Times New Roman"/>
                <w:color w:val="000000"/>
                <w:lang w:eastAsia="es-CL"/>
              </w:rPr>
              <w:t>19,63 (11,18)</w:t>
            </w:r>
          </w:p>
        </w:tc>
        <w:tc>
          <w:tcPr>
            <w:tcW w:w="695" w:type="dxa"/>
            <w:tcBorders>
              <w:top w:val="nil"/>
              <w:left w:val="nil"/>
              <w:bottom w:val="nil"/>
              <w:right w:val="nil"/>
            </w:tcBorders>
            <w:shd w:val="clear" w:color="auto" w:fill="auto"/>
            <w:noWrap/>
            <w:vAlign w:val="center"/>
            <w:hideMark/>
          </w:tcPr>
          <w:p w14:paraId="4A691FA7" w14:textId="77777777" w:rsidR="00CF1ED3" w:rsidRPr="00CF1ED3" w:rsidRDefault="00CF1ED3" w:rsidP="00CF1ED3">
            <w:pPr>
              <w:spacing w:after="0" w:line="240" w:lineRule="auto"/>
              <w:jc w:val="center"/>
              <w:rPr>
                <w:rFonts w:ascii="Times New Roman" w:eastAsia="Times New Roman" w:hAnsi="Times New Roman" w:cs="Times New Roman"/>
                <w:color w:val="000000"/>
                <w:lang w:eastAsia="es-CL"/>
              </w:rPr>
            </w:pPr>
            <w:r w:rsidRPr="00CF1ED3">
              <w:rPr>
                <w:rFonts w:ascii="Times New Roman" w:eastAsia="Times New Roman" w:hAnsi="Times New Roman" w:cs="Times New Roman"/>
                <w:color w:val="000000"/>
                <w:lang w:eastAsia="es-CL"/>
              </w:rPr>
              <w:t>***</w:t>
            </w:r>
          </w:p>
        </w:tc>
      </w:tr>
      <w:tr w:rsidR="00CF1ED3" w:rsidRPr="00CF1ED3" w14:paraId="2DB90560" w14:textId="77777777" w:rsidTr="009E07FD">
        <w:trPr>
          <w:trHeight w:val="288"/>
        </w:trPr>
        <w:tc>
          <w:tcPr>
            <w:tcW w:w="2552" w:type="dxa"/>
            <w:tcBorders>
              <w:top w:val="nil"/>
              <w:left w:val="nil"/>
              <w:bottom w:val="nil"/>
              <w:right w:val="nil"/>
            </w:tcBorders>
            <w:shd w:val="clear" w:color="auto" w:fill="auto"/>
            <w:noWrap/>
            <w:vAlign w:val="bottom"/>
            <w:hideMark/>
          </w:tcPr>
          <w:p w14:paraId="3EA09A25" w14:textId="4D565844" w:rsidR="00CF1ED3" w:rsidRPr="00CF1ED3" w:rsidRDefault="00CF1ED3" w:rsidP="00CF1ED3">
            <w:pPr>
              <w:spacing w:after="0" w:line="240" w:lineRule="auto"/>
              <w:rPr>
                <w:rFonts w:ascii="Times New Roman" w:eastAsia="Times New Roman" w:hAnsi="Times New Roman" w:cs="Times New Roman"/>
                <w:color w:val="000000"/>
                <w:lang w:eastAsia="es-CL"/>
              </w:rPr>
            </w:pPr>
            <w:r w:rsidRPr="00CF1ED3">
              <w:rPr>
                <w:rFonts w:ascii="Times New Roman" w:eastAsia="Times New Roman" w:hAnsi="Times New Roman" w:cs="Times New Roman"/>
                <w:color w:val="000000"/>
                <w:lang w:eastAsia="es-CL"/>
              </w:rPr>
              <w:t xml:space="preserve">OQ </w:t>
            </w:r>
            <w:r w:rsidR="009E07FD">
              <w:rPr>
                <w:rFonts w:ascii="Times New Roman" w:eastAsia="Times New Roman" w:hAnsi="Times New Roman" w:cs="Times New Roman"/>
                <w:color w:val="000000"/>
                <w:lang w:eastAsia="es-CL"/>
              </w:rPr>
              <w:t>[Media (DS)]</w:t>
            </w:r>
          </w:p>
        </w:tc>
        <w:tc>
          <w:tcPr>
            <w:tcW w:w="3164" w:type="dxa"/>
            <w:tcBorders>
              <w:top w:val="nil"/>
              <w:left w:val="nil"/>
              <w:bottom w:val="nil"/>
              <w:right w:val="nil"/>
            </w:tcBorders>
            <w:shd w:val="clear" w:color="auto" w:fill="auto"/>
            <w:noWrap/>
            <w:vAlign w:val="bottom"/>
            <w:hideMark/>
          </w:tcPr>
          <w:p w14:paraId="324642C0" w14:textId="77777777" w:rsidR="00CF1ED3" w:rsidRPr="00CF1ED3" w:rsidRDefault="00CF1ED3" w:rsidP="009E07FD">
            <w:pPr>
              <w:spacing w:after="0" w:line="240" w:lineRule="auto"/>
              <w:ind w:left="393" w:hanging="393"/>
              <w:rPr>
                <w:rFonts w:ascii="Times New Roman" w:eastAsia="Times New Roman" w:hAnsi="Times New Roman" w:cs="Times New Roman"/>
                <w:color w:val="000000"/>
                <w:lang w:eastAsia="es-CL"/>
              </w:rPr>
            </w:pPr>
          </w:p>
        </w:tc>
        <w:tc>
          <w:tcPr>
            <w:tcW w:w="1372" w:type="dxa"/>
            <w:tcBorders>
              <w:top w:val="nil"/>
              <w:left w:val="nil"/>
              <w:bottom w:val="nil"/>
              <w:right w:val="nil"/>
            </w:tcBorders>
            <w:shd w:val="clear" w:color="auto" w:fill="auto"/>
            <w:noWrap/>
            <w:vAlign w:val="bottom"/>
            <w:hideMark/>
          </w:tcPr>
          <w:p w14:paraId="4C7B9A43" w14:textId="77777777" w:rsidR="00CF1ED3" w:rsidRPr="00CF1ED3" w:rsidRDefault="00CF1ED3" w:rsidP="00CF1ED3">
            <w:pPr>
              <w:spacing w:after="0" w:line="240" w:lineRule="auto"/>
              <w:rPr>
                <w:rFonts w:ascii="Times New Roman" w:eastAsia="Times New Roman" w:hAnsi="Times New Roman" w:cs="Times New Roman"/>
                <w:sz w:val="20"/>
                <w:szCs w:val="20"/>
                <w:lang w:eastAsia="es-CL"/>
              </w:rPr>
            </w:pPr>
          </w:p>
        </w:tc>
        <w:tc>
          <w:tcPr>
            <w:tcW w:w="2140" w:type="dxa"/>
            <w:tcBorders>
              <w:top w:val="nil"/>
              <w:left w:val="nil"/>
              <w:bottom w:val="nil"/>
              <w:right w:val="nil"/>
            </w:tcBorders>
            <w:shd w:val="clear" w:color="auto" w:fill="auto"/>
            <w:noWrap/>
            <w:vAlign w:val="bottom"/>
            <w:hideMark/>
          </w:tcPr>
          <w:p w14:paraId="3CD9E65D" w14:textId="77777777" w:rsidR="00CF1ED3" w:rsidRPr="00CF1ED3" w:rsidRDefault="00CF1ED3" w:rsidP="00CF1ED3">
            <w:pPr>
              <w:spacing w:after="0" w:line="240" w:lineRule="auto"/>
              <w:jc w:val="center"/>
              <w:rPr>
                <w:rFonts w:ascii="Times New Roman" w:eastAsia="Times New Roman" w:hAnsi="Times New Roman" w:cs="Times New Roman"/>
                <w:sz w:val="20"/>
                <w:szCs w:val="20"/>
                <w:lang w:eastAsia="es-CL"/>
              </w:rPr>
            </w:pPr>
          </w:p>
        </w:tc>
        <w:tc>
          <w:tcPr>
            <w:tcW w:w="695" w:type="dxa"/>
            <w:tcBorders>
              <w:top w:val="nil"/>
              <w:left w:val="nil"/>
              <w:bottom w:val="nil"/>
              <w:right w:val="nil"/>
            </w:tcBorders>
            <w:shd w:val="clear" w:color="auto" w:fill="auto"/>
            <w:noWrap/>
            <w:vAlign w:val="center"/>
            <w:hideMark/>
          </w:tcPr>
          <w:p w14:paraId="0E675874" w14:textId="77777777" w:rsidR="00CF1ED3" w:rsidRPr="00CF1ED3" w:rsidRDefault="00CF1ED3" w:rsidP="00CF1ED3">
            <w:pPr>
              <w:spacing w:after="0" w:line="240" w:lineRule="auto"/>
              <w:jc w:val="center"/>
              <w:rPr>
                <w:rFonts w:ascii="Times New Roman" w:eastAsia="Times New Roman" w:hAnsi="Times New Roman" w:cs="Times New Roman"/>
                <w:sz w:val="20"/>
                <w:szCs w:val="20"/>
                <w:lang w:eastAsia="es-CL"/>
              </w:rPr>
            </w:pPr>
          </w:p>
        </w:tc>
      </w:tr>
      <w:tr w:rsidR="00CF1ED3" w:rsidRPr="00CF1ED3" w14:paraId="16212BB0" w14:textId="77777777" w:rsidTr="009E07FD">
        <w:trPr>
          <w:trHeight w:val="288"/>
        </w:trPr>
        <w:tc>
          <w:tcPr>
            <w:tcW w:w="2552" w:type="dxa"/>
            <w:tcBorders>
              <w:top w:val="nil"/>
              <w:left w:val="nil"/>
              <w:bottom w:val="nil"/>
              <w:right w:val="nil"/>
            </w:tcBorders>
            <w:shd w:val="clear" w:color="auto" w:fill="auto"/>
            <w:noWrap/>
            <w:vAlign w:val="bottom"/>
            <w:hideMark/>
          </w:tcPr>
          <w:p w14:paraId="2E10064C" w14:textId="77777777" w:rsidR="00CF1ED3" w:rsidRPr="00CF1ED3" w:rsidRDefault="00CF1ED3" w:rsidP="00CF1ED3">
            <w:pPr>
              <w:spacing w:after="0" w:line="240" w:lineRule="auto"/>
              <w:jc w:val="center"/>
              <w:rPr>
                <w:rFonts w:ascii="Times New Roman" w:eastAsia="Times New Roman" w:hAnsi="Times New Roman" w:cs="Times New Roman"/>
                <w:sz w:val="20"/>
                <w:szCs w:val="20"/>
                <w:lang w:eastAsia="es-CL"/>
              </w:rPr>
            </w:pPr>
          </w:p>
        </w:tc>
        <w:tc>
          <w:tcPr>
            <w:tcW w:w="3164" w:type="dxa"/>
            <w:tcBorders>
              <w:top w:val="nil"/>
              <w:left w:val="nil"/>
              <w:bottom w:val="nil"/>
              <w:right w:val="nil"/>
            </w:tcBorders>
            <w:shd w:val="clear" w:color="auto" w:fill="auto"/>
            <w:noWrap/>
            <w:vAlign w:val="bottom"/>
            <w:hideMark/>
          </w:tcPr>
          <w:p w14:paraId="37CE63F5" w14:textId="77777777" w:rsidR="00CF1ED3" w:rsidRPr="00CF1ED3" w:rsidRDefault="00CF1ED3" w:rsidP="00CF1ED3">
            <w:pPr>
              <w:spacing w:after="0" w:line="240" w:lineRule="auto"/>
              <w:rPr>
                <w:rFonts w:ascii="Times New Roman" w:eastAsia="Times New Roman" w:hAnsi="Times New Roman" w:cs="Times New Roman"/>
                <w:color w:val="000000"/>
                <w:lang w:eastAsia="es-CL"/>
              </w:rPr>
            </w:pPr>
            <w:r w:rsidRPr="00CF1ED3">
              <w:rPr>
                <w:rFonts w:ascii="Times New Roman" w:eastAsia="Times New Roman" w:hAnsi="Times New Roman" w:cs="Times New Roman"/>
                <w:color w:val="000000"/>
                <w:lang w:eastAsia="es-CL"/>
              </w:rPr>
              <w:t>Total</w:t>
            </w:r>
          </w:p>
        </w:tc>
        <w:tc>
          <w:tcPr>
            <w:tcW w:w="1372" w:type="dxa"/>
            <w:tcBorders>
              <w:top w:val="nil"/>
              <w:left w:val="nil"/>
              <w:bottom w:val="nil"/>
              <w:right w:val="nil"/>
            </w:tcBorders>
            <w:shd w:val="clear" w:color="auto" w:fill="auto"/>
            <w:noWrap/>
            <w:vAlign w:val="bottom"/>
            <w:hideMark/>
          </w:tcPr>
          <w:p w14:paraId="03DD7963" w14:textId="77777777" w:rsidR="00CF1ED3" w:rsidRPr="00CF1ED3" w:rsidRDefault="00CF1ED3" w:rsidP="00CF1ED3">
            <w:pPr>
              <w:spacing w:after="0" w:line="240" w:lineRule="auto"/>
              <w:jc w:val="center"/>
              <w:rPr>
                <w:rFonts w:ascii="Times New Roman" w:eastAsia="Times New Roman" w:hAnsi="Times New Roman" w:cs="Times New Roman"/>
                <w:color w:val="000000"/>
                <w:lang w:eastAsia="es-CL"/>
              </w:rPr>
            </w:pPr>
            <w:r w:rsidRPr="00CF1ED3">
              <w:rPr>
                <w:rFonts w:ascii="Times New Roman" w:eastAsia="Times New Roman" w:hAnsi="Times New Roman" w:cs="Times New Roman"/>
                <w:color w:val="000000"/>
                <w:lang w:eastAsia="es-CL"/>
              </w:rPr>
              <w:t>97,64 (25,57)</w:t>
            </w:r>
          </w:p>
        </w:tc>
        <w:tc>
          <w:tcPr>
            <w:tcW w:w="2140" w:type="dxa"/>
            <w:tcBorders>
              <w:top w:val="nil"/>
              <w:left w:val="nil"/>
              <w:bottom w:val="nil"/>
              <w:right w:val="nil"/>
            </w:tcBorders>
            <w:shd w:val="clear" w:color="auto" w:fill="auto"/>
            <w:noWrap/>
            <w:vAlign w:val="bottom"/>
            <w:hideMark/>
          </w:tcPr>
          <w:p w14:paraId="62867419" w14:textId="77777777" w:rsidR="00CF1ED3" w:rsidRPr="00CF1ED3" w:rsidRDefault="00CF1ED3" w:rsidP="00CF1ED3">
            <w:pPr>
              <w:spacing w:after="0" w:line="240" w:lineRule="auto"/>
              <w:jc w:val="center"/>
              <w:rPr>
                <w:rFonts w:ascii="Times New Roman" w:eastAsia="Times New Roman" w:hAnsi="Times New Roman" w:cs="Times New Roman"/>
                <w:color w:val="000000"/>
                <w:lang w:eastAsia="es-CL"/>
              </w:rPr>
            </w:pPr>
            <w:r w:rsidRPr="00CF1ED3">
              <w:rPr>
                <w:rFonts w:ascii="Times New Roman" w:eastAsia="Times New Roman" w:hAnsi="Times New Roman" w:cs="Times New Roman"/>
                <w:color w:val="000000"/>
                <w:lang w:eastAsia="es-CL"/>
              </w:rPr>
              <w:t>76,73 (27,53)</w:t>
            </w:r>
          </w:p>
        </w:tc>
        <w:tc>
          <w:tcPr>
            <w:tcW w:w="695" w:type="dxa"/>
            <w:tcBorders>
              <w:top w:val="nil"/>
              <w:left w:val="nil"/>
              <w:bottom w:val="nil"/>
              <w:right w:val="nil"/>
            </w:tcBorders>
            <w:shd w:val="clear" w:color="auto" w:fill="auto"/>
            <w:noWrap/>
            <w:vAlign w:val="center"/>
            <w:hideMark/>
          </w:tcPr>
          <w:p w14:paraId="5B20D891" w14:textId="77777777" w:rsidR="00CF1ED3" w:rsidRPr="00CF1ED3" w:rsidRDefault="00CF1ED3" w:rsidP="00CF1ED3">
            <w:pPr>
              <w:spacing w:after="0" w:line="240" w:lineRule="auto"/>
              <w:jc w:val="center"/>
              <w:rPr>
                <w:rFonts w:ascii="Times New Roman" w:eastAsia="Times New Roman" w:hAnsi="Times New Roman" w:cs="Times New Roman"/>
                <w:color w:val="000000"/>
                <w:lang w:eastAsia="es-CL"/>
              </w:rPr>
            </w:pPr>
            <w:r w:rsidRPr="00CF1ED3">
              <w:rPr>
                <w:rFonts w:ascii="Times New Roman" w:eastAsia="Times New Roman" w:hAnsi="Times New Roman" w:cs="Times New Roman"/>
                <w:color w:val="000000"/>
                <w:lang w:eastAsia="es-CL"/>
              </w:rPr>
              <w:t>***</w:t>
            </w:r>
          </w:p>
        </w:tc>
      </w:tr>
      <w:tr w:rsidR="00CF1ED3" w:rsidRPr="00CF1ED3" w14:paraId="6187A156" w14:textId="77777777" w:rsidTr="009E07FD">
        <w:trPr>
          <w:trHeight w:val="288"/>
        </w:trPr>
        <w:tc>
          <w:tcPr>
            <w:tcW w:w="2552" w:type="dxa"/>
            <w:tcBorders>
              <w:top w:val="nil"/>
              <w:left w:val="nil"/>
              <w:bottom w:val="nil"/>
              <w:right w:val="nil"/>
            </w:tcBorders>
            <w:shd w:val="clear" w:color="auto" w:fill="auto"/>
            <w:noWrap/>
            <w:vAlign w:val="bottom"/>
            <w:hideMark/>
          </w:tcPr>
          <w:p w14:paraId="1195BFD4" w14:textId="77777777" w:rsidR="00CF1ED3" w:rsidRPr="00CF1ED3" w:rsidRDefault="00CF1ED3" w:rsidP="00CF1ED3">
            <w:pPr>
              <w:spacing w:after="0" w:line="240" w:lineRule="auto"/>
              <w:jc w:val="center"/>
              <w:rPr>
                <w:rFonts w:ascii="Times New Roman" w:eastAsia="Times New Roman" w:hAnsi="Times New Roman" w:cs="Times New Roman"/>
                <w:color w:val="000000"/>
                <w:lang w:eastAsia="es-CL"/>
              </w:rPr>
            </w:pPr>
          </w:p>
        </w:tc>
        <w:tc>
          <w:tcPr>
            <w:tcW w:w="3164" w:type="dxa"/>
            <w:tcBorders>
              <w:top w:val="nil"/>
              <w:left w:val="nil"/>
              <w:bottom w:val="nil"/>
              <w:right w:val="nil"/>
            </w:tcBorders>
            <w:shd w:val="clear" w:color="auto" w:fill="auto"/>
            <w:noWrap/>
            <w:vAlign w:val="bottom"/>
            <w:hideMark/>
          </w:tcPr>
          <w:p w14:paraId="38ECE708" w14:textId="77777777" w:rsidR="00CF1ED3" w:rsidRPr="00CF1ED3" w:rsidRDefault="00CF1ED3" w:rsidP="00CF1ED3">
            <w:pPr>
              <w:spacing w:after="0" w:line="240" w:lineRule="auto"/>
              <w:rPr>
                <w:rFonts w:ascii="Times New Roman" w:eastAsia="Times New Roman" w:hAnsi="Times New Roman" w:cs="Times New Roman"/>
                <w:color w:val="000000"/>
                <w:lang w:eastAsia="es-CL"/>
              </w:rPr>
            </w:pPr>
            <w:r w:rsidRPr="00CF1ED3">
              <w:rPr>
                <w:rFonts w:ascii="Times New Roman" w:eastAsia="Times New Roman" w:hAnsi="Times New Roman" w:cs="Times New Roman"/>
                <w:color w:val="000000"/>
                <w:lang w:eastAsia="es-CL"/>
              </w:rPr>
              <w:t>Relaciones Interpersonales</w:t>
            </w:r>
          </w:p>
        </w:tc>
        <w:tc>
          <w:tcPr>
            <w:tcW w:w="1372" w:type="dxa"/>
            <w:tcBorders>
              <w:top w:val="nil"/>
              <w:left w:val="nil"/>
              <w:bottom w:val="nil"/>
              <w:right w:val="nil"/>
            </w:tcBorders>
            <w:shd w:val="clear" w:color="auto" w:fill="auto"/>
            <w:noWrap/>
            <w:vAlign w:val="bottom"/>
            <w:hideMark/>
          </w:tcPr>
          <w:p w14:paraId="7367EE87" w14:textId="77777777" w:rsidR="00CF1ED3" w:rsidRPr="00CF1ED3" w:rsidRDefault="00CF1ED3" w:rsidP="00CF1ED3">
            <w:pPr>
              <w:spacing w:after="0" w:line="240" w:lineRule="auto"/>
              <w:jc w:val="center"/>
              <w:rPr>
                <w:rFonts w:ascii="Times New Roman" w:eastAsia="Times New Roman" w:hAnsi="Times New Roman" w:cs="Times New Roman"/>
                <w:color w:val="000000"/>
                <w:lang w:eastAsia="es-CL"/>
              </w:rPr>
            </w:pPr>
            <w:r w:rsidRPr="00CF1ED3">
              <w:rPr>
                <w:rFonts w:ascii="Times New Roman" w:eastAsia="Times New Roman" w:hAnsi="Times New Roman" w:cs="Times New Roman"/>
                <w:color w:val="000000"/>
                <w:lang w:eastAsia="es-CL"/>
              </w:rPr>
              <w:t>19,53 (6,76)</w:t>
            </w:r>
          </w:p>
        </w:tc>
        <w:tc>
          <w:tcPr>
            <w:tcW w:w="2140" w:type="dxa"/>
            <w:tcBorders>
              <w:top w:val="nil"/>
              <w:left w:val="nil"/>
              <w:bottom w:val="nil"/>
              <w:right w:val="nil"/>
            </w:tcBorders>
            <w:shd w:val="clear" w:color="auto" w:fill="auto"/>
            <w:noWrap/>
            <w:vAlign w:val="bottom"/>
            <w:hideMark/>
          </w:tcPr>
          <w:p w14:paraId="75369BF6" w14:textId="77777777" w:rsidR="00CF1ED3" w:rsidRPr="00CF1ED3" w:rsidRDefault="00CF1ED3" w:rsidP="00CF1ED3">
            <w:pPr>
              <w:spacing w:after="0" w:line="240" w:lineRule="auto"/>
              <w:jc w:val="center"/>
              <w:rPr>
                <w:rFonts w:ascii="Times New Roman" w:eastAsia="Times New Roman" w:hAnsi="Times New Roman" w:cs="Times New Roman"/>
                <w:color w:val="000000"/>
                <w:lang w:eastAsia="es-CL"/>
              </w:rPr>
            </w:pPr>
            <w:r w:rsidRPr="00CF1ED3">
              <w:rPr>
                <w:rFonts w:ascii="Times New Roman" w:eastAsia="Times New Roman" w:hAnsi="Times New Roman" w:cs="Times New Roman"/>
                <w:color w:val="000000"/>
                <w:lang w:eastAsia="es-CL"/>
              </w:rPr>
              <w:t>16,72 (7,05)</w:t>
            </w:r>
          </w:p>
        </w:tc>
        <w:tc>
          <w:tcPr>
            <w:tcW w:w="695" w:type="dxa"/>
            <w:tcBorders>
              <w:top w:val="nil"/>
              <w:left w:val="nil"/>
              <w:bottom w:val="nil"/>
              <w:right w:val="nil"/>
            </w:tcBorders>
            <w:shd w:val="clear" w:color="auto" w:fill="auto"/>
            <w:noWrap/>
            <w:vAlign w:val="center"/>
            <w:hideMark/>
          </w:tcPr>
          <w:p w14:paraId="4B0A345D" w14:textId="77777777" w:rsidR="00CF1ED3" w:rsidRPr="00CF1ED3" w:rsidRDefault="00CF1ED3" w:rsidP="00CF1ED3">
            <w:pPr>
              <w:spacing w:after="0" w:line="240" w:lineRule="auto"/>
              <w:jc w:val="center"/>
              <w:rPr>
                <w:rFonts w:ascii="Times New Roman" w:eastAsia="Times New Roman" w:hAnsi="Times New Roman" w:cs="Times New Roman"/>
                <w:color w:val="000000"/>
                <w:lang w:eastAsia="es-CL"/>
              </w:rPr>
            </w:pPr>
            <w:r w:rsidRPr="00CF1ED3">
              <w:rPr>
                <w:rFonts w:ascii="Times New Roman" w:eastAsia="Times New Roman" w:hAnsi="Times New Roman" w:cs="Times New Roman"/>
                <w:color w:val="000000"/>
                <w:lang w:eastAsia="es-CL"/>
              </w:rPr>
              <w:t>**</w:t>
            </w:r>
          </w:p>
        </w:tc>
      </w:tr>
      <w:tr w:rsidR="00CF1ED3" w:rsidRPr="00CF1ED3" w14:paraId="49F9E38A" w14:textId="77777777" w:rsidTr="009E07FD">
        <w:trPr>
          <w:trHeight w:val="288"/>
        </w:trPr>
        <w:tc>
          <w:tcPr>
            <w:tcW w:w="2552" w:type="dxa"/>
            <w:tcBorders>
              <w:top w:val="nil"/>
              <w:left w:val="nil"/>
              <w:bottom w:val="nil"/>
              <w:right w:val="nil"/>
            </w:tcBorders>
            <w:shd w:val="clear" w:color="auto" w:fill="auto"/>
            <w:noWrap/>
            <w:vAlign w:val="bottom"/>
            <w:hideMark/>
          </w:tcPr>
          <w:p w14:paraId="2B453A02" w14:textId="77777777" w:rsidR="00CF1ED3" w:rsidRPr="00CF1ED3" w:rsidRDefault="00CF1ED3" w:rsidP="00CF1ED3">
            <w:pPr>
              <w:spacing w:after="0" w:line="240" w:lineRule="auto"/>
              <w:jc w:val="center"/>
              <w:rPr>
                <w:rFonts w:ascii="Times New Roman" w:eastAsia="Times New Roman" w:hAnsi="Times New Roman" w:cs="Times New Roman"/>
                <w:color w:val="000000"/>
                <w:lang w:eastAsia="es-CL"/>
              </w:rPr>
            </w:pPr>
          </w:p>
        </w:tc>
        <w:tc>
          <w:tcPr>
            <w:tcW w:w="3164" w:type="dxa"/>
            <w:tcBorders>
              <w:top w:val="nil"/>
              <w:left w:val="nil"/>
              <w:bottom w:val="nil"/>
              <w:right w:val="nil"/>
            </w:tcBorders>
            <w:shd w:val="clear" w:color="auto" w:fill="auto"/>
            <w:noWrap/>
            <w:vAlign w:val="bottom"/>
            <w:hideMark/>
          </w:tcPr>
          <w:p w14:paraId="19CF296F" w14:textId="77777777" w:rsidR="00CF1ED3" w:rsidRPr="00CF1ED3" w:rsidRDefault="00CF1ED3" w:rsidP="00CF1ED3">
            <w:pPr>
              <w:spacing w:after="0" w:line="240" w:lineRule="auto"/>
              <w:rPr>
                <w:rFonts w:ascii="Times New Roman" w:eastAsia="Times New Roman" w:hAnsi="Times New Roman" w:cs="Times New Roman"/>
                <w:color w:val="000000"/>
                <w:lang w:eastAsia="es-CL"/>
              </w:rPr>
            </w:pPr>
            <w:r w:rsidRPr="00CF1ED3">
              <w:rPr>
                <w:rFonts w:ascii="Times New Roman" w:eastAsia="Times New Roman" w:hAnsi="Times New Roman" w:cs="Times New Roman"/>
                <w:color w:val="000000"/>
                <w:lang w:eastAsia="es-CL"/>
              </w:rPr>
              <w:t>Rol Social</w:t>
            </w:r>
          </w:p>
        </w:tc>
        <w:tc>
          <w:tcPr>
            <w:tcW w:w="1372" w:type="dxa"/>
            <w:tcBorders>
              <w:top w:val="nil"/>
              <w:left w:val="nil"/>
              <w:bottom w:val="nil"/>
              <w:right w:val="nil"/>
            </w:tcBorders>
            <w:shd w:val="clear" w:color="auto" w:fill="auto"/>
            <w:noWrap/>
            <w:vAlign w:val="bottom"/>
            <w:hideMark/>
          </w:tcPr>
          <w:p w14:paraId="3B753E79" w14:textId="77777777" w:rsidR="00CF1ED3" w:rsidRPr="00CF1ED3" w:rsidRDefault="00CF1ED3" w:rsidP="00CF1ED3">
            <w:pPr>
              <w:spacing w:after="0" w:line="240" w:lineRule="auto"/>
              <w:jc w:val="center"/>
              <w:rPr>
                <w:rFonts w:ascii="Times New Roman" w:eastAsia="Times New Roman" w:hAnsi="Times New Roman" w:cs="Times New Roman"/>
                <w:color w:val="000000"/>
                <w:lang w:eastAsia="es-CL"/>
              </w:rPr>
            </w:pPr>
            <w:r w:rsidRPr="00CF1ED3">
              <w:rPr>
                <w:rFonts w:ascii="Times New Roman" w:eastAsia="Times New Roman" w:hAnsi="Times New Roman" w:cs="Times New Roman"/>
                <w:color w:val="000000"/>
                <w:lang w:eastAsia="es-CL"/>
              </w:rPr>
              <w:t>15,37 (5,29)</w:t>
            </w:r>
          </w:p>
        </w:tc>
        <w:tc>
          <w:tcPr>
            <w:tcW w:w="2140" w:type="dxa"/>
            <w:tcBorders>
              <w:top w:val="nil"/>
              <w:left w:val="nil"/>
              <w:bottom w:val="nil"/>
              <w:right w:val="nil"/>
            </w:tcBorders>
            <w:shd w:val="clear" w:color="auto" w:fill="auto"/>
            <w:noWrap/>
            <w:vAlign w:val="bottom"/>
            <w:hideMark/>
          </w:tcPr>
          <w:p w14:paraId="1BEA75CF" w14:textId="77777777" w:rsidR="00CF1ED3" w:rsidRPr="00CF1ED3" w:rsidRDefault="00CF1ED3" w:rsidP="00CF1ED3">
            <w:pPr>
              <w:spacing w:after="0" w:line="240" w:lineRule="auto"/>
              <w:jc w:val="center"/>
              <w:rPr>
                <w:rFonts w:ascii="Times New Roman" w:eastAsia="Times New Roman" w:hAnsi="Times New Roman" w:cs="Times New Roman"/>
                <w:color w:val="000000"/>
                <w:lang w:eastAsia="es-CL"/>
              </w:rPr>
            </w:pPr>
            <w:r w:rsidRPr="00CF1ED3">
              <w:rPr>
                <w:rFonts w:ascii="Times New Roman" w:eastAsia="Times New Roman" w:hAnsi="Times New Roman" w:cs="Times New Roman"/>
                <w:color w:val="000000"/>
                <w:lang w:eastAsia="es-CL"/>
              </w:rPr>
              <w:t>13,58 (5,42)</w:t>
            </w:r>
          </w:p>
        </w:tc>
        <w:tc>
          <w:tcPr>
            <w:tcW w:w="695" w:type="dxa"/>
            <w:tcBorders>
              <w:top w:val="nil"/>
              <w:left w:val="nil"/>
              <w:bottom w:val="nil"/>
              <w:right w:val="nil"/>
            </w:tcBorders>
            <w:shd w:val="clear" w:color="auto" w:fill="auto"/>
            <w:noWrap/>
            <w:vAlign w:val="center"/>
            <w:hideMark/>
          </w:tcPr>
          <w:p w14:paraId="0CB6557A" w14:textId="77777777" w:rsidR="00CF1ED3" w:rsidRPr="00CF1ED3" w:rsidRDefault="00CF1ED3" w:rsidP="00CF1ED3">
            <w:pPr>
              <w:spacing w:after="0" w:line="240" w:lineRule="auto"/>
              <w:jc w:val="center"/>
              <w:rPr>
                <w:rFonts w:ascii="Times New Roman" w:eastAsia="Times New Roman" w:hAnsi="Times New Roman" w:cs="Times New Roman"/>
                <w:color w:val="000000"/>
                <w:lang w:eastAsia="es-CL"/>
              </w:rPr>
            </w:pPr>
            <w:r w:rsidRPr="00CF1ED3">
              <w:rPr>
                <w:rFonts w:ascii="Times New Roman" w:eastAsia="Times New Roman" w:hAnsi="Times New Roman" w:cs="Times New Roman"/>
                <w:color w:val="000000"/>
                <w:lang w:eastAsia="es-CL"/>
              </w:rPr>
              <w:t>*</w:t>
            </w:r>
          </w:p>
        </w:tc>
      </w:tr>
      <w:tr w:rsidR="00CF1ED3" w:rsidRPr="00CF1ED3" w14:paraId="73E6E611" w14:textId="77777777" w:rsidTr="009E07FD">
        <w:trPr>
          <w:trHeight w:val="288"/>
        </w:trPr>
        <w:tc>
          <w:tcPr>
            <w:tcW w:w="2552" w:type="dxa"/>
            <w:tcBorders>
              <w:top w:val="nil"/>
              <w:left w:val="nil"/>
              <w:bottom w:val="nil"/>
              <w:right w:val="nil"/>
            </w:tcBorders>
            <w:shd w:val="clear" w:color="auto" w:fill="auto"/>
            <w:noWrap/>
            <w:vAlign w:val="bottom"/>
            <w:hideMark/>
          </w:tcPr>
          <w:p w14:paraId="129B0425" w14:textId="77777777" w:rsidR="00CF1ED3" w:rsidRPr="00CF1ED3" w:rsidRDefault="00CF1ED3" w:rsidP="00CF1ED3">
            <w:pPr>
              <w:spacing w:after="0" w:line="240" w:lineRule="auto"/>
              <w:jc w:val="center"/>
              <w:rPr>
                <w:rFonts w:ascii="Times New Roman" w:eastAsia="Times New Roman" w:hAnsi="Times New Roman" w:cs="Times New Roman"/>
                <w:color w:val="000000"/>
                <w:lang w:eastAsia="es-CL"/>
              </w:rPr>
            </w:pPr>
          </w:p>
        </w:tc>
        <w:tc>
          <w:tcPr>
            <w:tcW w:w="3164" w:type="dxa"/>
            <w:tcBorders>
              <w:top w:val="nil"/>
              <w:left w:val="nil"/>
              <w:bottom w:val="nil"/>
              <w:right w:val="nil"/>
            </w:tcBorders>
            <w:shd w:val="clear" w:color="auto" w:fill="auto"/>
            <w:noWrap/>
            <w:vAlign w:val="bottom"/>
            <w:hideMark/>
          </w:tcPr>
          <w:p w14:paraId="5FFABF34" w14:textId="77777777" w:rsidR="00CF1ED3" w:rsidRPr="00CF1ED3" w:rsidRDefault="00CF1ED3" w:rsidP="00CF1ED3">
            <w:pPr>
              <w:spacing w:after="0" w:line="240" w:lineRule="auto"/>
              <w:rPr>
                <w:rFonts w:ascii="Times New Roman" w:eastAsia="Times New Roman" w:hAnsi="Times New Roman" w:cs="Times New Roman"/>
                <w:color w:val="000000"/>
                <w:lang w:eastAsia="es-CL"/>
              </w:rPr>
            </w:pPr>
            <w:r w:rsidRPr="00CF1ED3">
              <w:rPr>
                <w:rFonts w:ascii="Times New Roman" w:eastAsia="Times New Roman" w:hAnsi="Times New Roman" w:cs="Times New Roman"/>
                <w:color w:val="000000"/>
                <w:lang w:eastAsia="es-CL"/>
              </w:rPr>
              <w:t>Síntomas</w:t>
            </w:r>
          </w:p>
        </w:tc>
        <w:tc>
          <w:tcPr>
            <w:tcW w:w="1372" w:type="dxa"/>
            <w:tcBorders>
              <w:top w:val="nil"/>
              <w:left w:val="nil"/>
              <w:bottom w:val="nil"/>
              <w:right w:val="nil"/>
            </w:tcBorders>
            <w:shd w:val="clear" w:color="auto" w:fill="auto"/>
            <w:noWrap/>
            <w:vAlign w:val="bottom"/>
            <w:hideMark/>
          </w:tcPr>
          <w:p w14:paraId="31861DD6" w14:textId="77777777" w:rsidR="00CF1ED3" w:rsidRPr="00CF1ED3" w:rsidRDefault="00CF1ED3" w:rsidP="00CF1ED3">
            <w:pPr>
              <w:spacing w:after="0" w:line="240" w:lineRule="auto"/>
              <w:jc w:val="center"/>
              <w:rPr>
                <w:rFonts w:ascii="Times New Roman" w:eastAsia="Times New Roman" w:hAnsi="Times New Roman" w:cs="Times New Roman"/>
                <w:color w:val="000000"/>
                <w:lang w:eastAsia="es-CL"/>
              </w:rPr>
            </w:pPr>
            <w:r w:rsidRPr="00CF1ED3">
              <w:rPr>
                <w:rFonts w:ascii="Times New Roman" w:eastAsia="Times New Roman" w:hAnsi="Times New Roman" w:cs="Times New Roman"/>
                <w:color w:val="000000"/>
                <w:lang w:eastAsia="es-CL"/>
              </w:rPr>
              <w:t>62,92 (16,98)</w:t>
            </w:r>
          </w:p>
        </w:tc>
        <w:tc>
          <w:tcPr>
            <w:tcW w:w="2140" w:type="dxa"/>
            <w:tcBorders>
              <w:top w:val="nil"/>
              <w:left w:val="nil"/>
              <w:bottom w:val="nil"/>
              <w:right w:val="nil"/>
            </w:tcBorders>
            <w:shd w:val="clear" w:color="auto" w:fill="auto"/>
            <w:noWrap/>
            <w:vAlign w:val="bottom"/>
            <w:hideMark/>
          </w:tcPr>
          <w:p w14:paraId="01335C75" w14:textId="77777777" w:rsidR="00CF1ED3" w:rsidRPr="00CF1ED3" w:rsidRDefault="00CF1ED3" w:rsidP="00CF1ED3">
            <w:pPr>
              <w:spacing w:after="0" w:line="240" w:lineRule="auto"/>
              <w:jc w:val="center"/>
              <w:rPr>
                <w:rFonts w:ascii="Times New Roman" w:eastAsia="Times New Roman" w:hAnsi="Times New Roman" w:cs="Times New Roman"/>
                <w:color w:val="000000"/>
                <w:lang w:eastAsia="es-CL"/>
              </w:rPr>
            </w:pPr>
            <w:r w:rsidRPr="00CF1ED3">
              <w:rPr>
                <w:rFonts w:ascii="Times New Roman" w:eastAsia="Times New Roman" w:hAnsi="Times New Roman" w:cs="Times New Roman"/>
                <w:color w:val="000000"/>
                <w:lang w:eastAsia="es-CL"/>
              </w:rPr>
              <w:t>46,43 (17,74)</w:t>
            </w:r>
          </w:p>
        </w:tc>
        <w:tc>
          <w:tcPr>
            <w:tcW w:w="695" w:type="dxa"/>
            <w:tcBorders>
              <w:top w:val="nil"/>
              <w:left w:val="nil"/>
              <w:bottom w:val="nil"/>
              <w:right w:val="nil"/>
            </w:tcBorders>
            <w:shd w:val="clear" w:color="auto" w:fill="auto"/>
            <w:noWrap/>
            <w:vAlign w:val="center"/>
            <w:hideMark/>
          </w:tcPr>
          <w:p w14:paraId="2A6EB372" w14:textId="77777777" w:rsidR="00CF1ED3" w:rsidRPr="00CF1ED3" w:rsidRDefault="00CF1ED3" w:rsidP="00CF1ED3">
            <w:pPr>
              <w:spacing w:after="0" w:line="240" w:lineRule="auto"/>
              <w:jc w:val="center"/>
              <w:rPr>
                <w:rFonts w:ascii="Times New Roman" w:eastAsia="Times New Roman" w:hAnsi="Times New Roman" w:cs="Times New Roman"/>
                <w:color w:val="000000"/>
                <w:lang w:eastAsia="es-CL"/>
              </w:rPr>
            </w:pPr>
            <w:r w:rsidRPr="00CF1ED3">
              <w:rPr>
                <w:rFonts w:ascii="Times New Roman" w:eastAsia="Times New Roman" w:hAnsi="Times New Roman" w:cs="Times New Roman"/>
                <w:color w:val="000000"/>
                <w:lang w:eastAsia="es-CL"/>
              </w:rPr>
              <w:t>***</w:t>
            </w:r>
          </w:p>
        </w:tc>
      </w:tr>
      <w:tr w:rsidR="00CF1ED3" w:rsidRPr="00CF1ED3" w14:paraId="77A69D41" w14:textId="77777777" w:rsidTr="009E07FD">
        <w:trPr>
          <w:trHeight w:val="288"/>
        </w:trPr>
        <w:tc>
          <w:tcPr>
            <w:tcW w:w="2552" w:type="dxa"/>
            <w:tcBorders>
              <w:top w:val="nil"/>
              <w:left w:val="nil"/>
              <w:bottom w:val="single" w:sz="4" w:space="0" w:color="auto"/>
              <w:right w:val="nil"/>
            </w:tcBorders>
            <w:shd w:val="clear" w:color="auto" w:fill="auto"/>
            <w:noWrap/>
            <w:vAlign w:val="bottom"/>
            <w:hideMark/>
          </w:tcPr>
          <w:p w14:paraId="7C1514B8" w14:textId="6482FB91" w:rsidR="00CF1ED3" w:rsidRPr="00CF1ED3" w:rsidRDefault="00CF1ED3" w:rsidP="00CF1ED3">
            <w:pPr>
              <w:spacing w:after="0" w:line="240" w:lineRule="auto"/>
              <w:rPr>
                <w:rFonts w:ascii="Times New Roman" w:eastAsia="Times New Roman" w:hAnsi="Times New Roman" w:cs="Times New Roman"/>
                <w:color w:val="000000"/>
                <w:lang w:eastAsia="es-CL"/>
              </w:rPr>
            </w:pPr>
            <w:r w:rsidRPr="00CF1ED3">
              <w:rPr>
                <w:rFonts w:ascii="Times New Roman" w:eastAsia="Times New Roman" w:hAnsi="Times New Roman" w:cs="Times New Roman"/>
                <w:color w:val="000000"/>
                <w:lang w:eastAsia="es-CL"/>
              </w:rPr>
              <w:t>OPD Total</w:t>
            </w:r>
            <w:r w:rsidR="009E07FD">
              <w:rPr>
                <w:rFonts w:ascii="Times New Roman" w:eastAsia="Times New Roman" w:hAnsi="Times New Roman" w:cs="Times New Roman"/>
                <w:color w:val="000000"/>
                <w:lang w:eastAsia="es-CL"/>
              </w:rPr>
              <w:t xml:space="preserve"> [Media (DS)]</w:t>
            </w:r>
          </w:p>
        </w:tc>
        <w:tc>
          <w:tcPr>
            <w:tcW w:w="3164" w:type="dxa"/>
            <w:tcBorders>
              <w:top w:val="nil"/>
              <w:left w:val="nil"/>
              <w:bottom w:val="single" w:sz="4" w:space="0" w:color="auto"/>
              <w:right w:val="nil"/>
            </w:tcBorders>
            <w:shd w:val="clear" w:color="auto" w:fill="auto"/>
            <w:noWrap/>
            <w:vAlign w:val="bottom"/>
            <w:hideMark/>
          </w:tcPr>
          <w:p w14:paraId="4FC8C6B6" w14:textId="77777777" w:rsidR="00CF1ED3" w:rsidRPr="00CF1ED3" w:rsidRDefault="00CF1ED3" w:rsidP="00CF1ED3">
            <w:pPr>
              <w:spacing w:after="0" w:line="240" w:lineRule="auto"/>
              <w:rPr>
                <w:rFonts w:ascii="Times New Roman" w:eastAsia="Times New Roman" w:hAnsi="Times New Roman" w:cs="Times New Roman"/>
                <w:color w:val="000000"/>
                <w:lang w:eastAsia="es-CL"/>
              </w:rPr>
            </w:pPr>
            <w:r w:rsidRPr="00CF1ED3">
              <w:rPr>
                <w:rFonts w:ascii="Times New Roman" w:eastAsia="Times New Roman" w:hAnsi="Times New Roman" w:cs="Times New Roman"/>
                <w:color w:val="000000"/>
                <w:lang w:eastAsia="es-CL"/>
              </w:rPr>
              <w:t> </w:t>
            </w:r>
          </w:p>
        </w:tc>
        <w:tc>
          <w:tcPr>
            <w:tcW w:w="1372" w:type="dxa"/>
            <w:tcBorders>
              <w:top w:val="nil"/>
              <w:left w:val="nil"/>
              <w:bottom w:val="single" w:sz="4" w:space="0" w:color="auto"/>
              <w:right w:val="nil"/>
            </w:tcBorders>
            <w:shd w:val="clear" w:color="auto" w:fill="auto"/>
            <w:noWrap/>
            <w:vAlign w:val="bottom"/>
            <w:hideMark/>
          </w:tcPr>
          <w:p w14:paraId="647C154C" w14:textId="77777777" w:rsidR="00CF1ED3" w:rsidRPr="00CF1ED3" w:rsidRDefault="00CF1ED3" w:rsidP="00CF1ED3">
            <w:pPr>
              <w:spacing w:after="0" w:line="240" w:lineRule="auto"/>
              <w:jc w:val="center"/>
              <w:rPr>
                <w:rFonts w:ascii="Times New Roman" w:eastAsia="Times New Roman" w:hAnsi="Times New Roman" w:cs="Times New Roman"/>
                <w:color w:val="000000"/>
                <w:lang w:eastAsia="es-CL"/>
              </w:rPr>
            </w:pPr>
            <w:r w:rsidRPr="00CF1ED3">
              <w:rPr>
                <w:rFonts w:ascii="Times New Roman" w:eastAsia="Times New Roman" w:hAnsi="Times New Roman" w:cs="Times New Roman"/>
                <w:color w:val="000000"/>
                <w:lang w:eastAsia="es-CL"/>
              </w:rPr>
              <w:t>2,49 (0,54)</w:t>
            </w:r>
          </w:p>
        </w:tc>
        <w:tc>
          <w:tcPr>
            <w:tcW w:w="2140" w:type="dxa"/>
            <w:tcBorders>
              <w:top w:val="nil"/>
              <w:left w:val="nil"/>
              <w:bottom w:val="single" w:sz="4" w:space="0" w:color="auto"/>
              <w:right w:val="nil"/>
            </w:tcBorders>
            <w:shd w:val="clear" w:color="auto" w:fill="auto"/>
            <w:noWrap/>
            <w:vAlign w:val="bottom"/>
            <w:hideMark/>
          </w:tcPr>
          <w:p w14:paraId="0749F501" w14:textId="77777777" w:rsidR="00CF1ED3" w:rsidRPr="00CF1ED3" w:rsidRDefault="00CF1ED3" w:rsidP="00CF1ED3">
            <w:pPr>
              <w:spacing w:after="0" w:line="240" w:lineRule="auto"/>
              <w:jc w:val="center"/>
              <w:rPr>
                <w:rFonts w:ascii="Times New Roman" w:eastAsia="Times New Roman" w:hAnsi="Times New Roman" w:cs="Times New Roman"/>
                <w:color w:val="000000"/>
                <w:lang w:eastAsia="es-CL"/>
              </w:rPr>
            </w:pPr>
            <w:r w:rsidRPr="00CF1ED3">
              <w:rPr>
                <w:rFonts w:ascii="Times New Roman" w:eastAsia="Times New Roman" w:hAnsi="Times New Roman" w:cs="Times New Roman"/>
                <w:color w:val="000000"/>
                <w:lang w:eastAsia="es-CL"/>
              </w:rPr>
              <w:t>1,92 (0,76)</w:t>
            </w:r>
          </w:p>
        </w:tc>
        <w:tc>
          <w:tcPr>
            <w:tcW w:w="695" w:type="dxa"/>
            <w:tcBorders>
              <w:top w:val="nil"/>
              <w:left w:val="nil"/>
              <w:bottom w:val="single" w:sz="4" w:space="0" w:color="auto"/>
              <w:right w:val="nil"/>
            </w:tcBorders>
            <w:shd w:val="clear" w:color="auto" w:fill="auto"/>
            <w:noWrap/>
            <w:vAlign w:val="center"/>
            <w:hideMark/>
          </w:tcPr>
          <w:p w14:paraId="3B48EC86" w14:textId="77777777" w:rsidR="00CF1ED3" w:rsidRPr="00CF1ED3" w:rsidRDefault="00CF1ED3" w:rsidP="00CF1ED3">
            <w:pPr>
              <w:spacing w:after="0" w:line="240" w:lineRule="auto"/>
              <w:jc w:val="center"/>
              <w:rPr>
                <w:rFonts w:ascii="Times New Roman" w:eastAsia="Times New Roman" w:hAnsi="Times New Roman" w:cs="Times New Roman"/>
                <w:color w:val="000000"/>
                <w:lang w:eastAsia="es-CL"/>
              </w:rPr>
            </w:pPr>
            <w:r w:rsidRPr="00CF1ED3">
              <w:rPr>
                <w:rFonts w:ascii="Times New Roman" w:eastAsia="Times New Roman" w:hAnsi="Times New Roman" w:cs="Times New Roman"/>
                <w:color w:val="000000"/>
                <w:lang w:eastAsia="es-CL"/>
              </w:rPr>
              <w:t>***</w:t>
            </w:r>
          </w:p>
        </w:tc>
      </w:tr>
    </w:tbl>
    <w:p w14:paraId="623EFCAD" w14:textId="77777777" w:rsidR="00CF1ED3" w:rsidRPr="0052103D" w:rsidRDefault="00CF1ED3" w:rsidP="00D4686E">
      <w:pPr>
        <w:spacing w:after="0" w:line="240" w:lineRule="auto"/>
        <w:jc w:val="both"/>
        <w:rPr>
          <w:rFonts w:ascii="Times New Roman" w:hAnsi="Times New Roman" w:cs="Times New Roman"/>
          <w:b/>
          <w:sz w:val="20"/>
          <w:szCs w:val="20"/>
        </w:rPr>
      </w:pPr>
    </w:p>
    <w:p w14:paraId="4D500069" w14:textId="112CACD7" w:rsidR="00230BBA" w:rsidRDefault="00230BBA" w:rsidP="00D4686E">
      <w:pPr>
        <w:spacing w:after="0" w:line="240" w:lineRule="auto"/>
        <w:jc w:val="both"/>
        <w:rPr>
          <w:rFonts w:ascii="Times New Roman" w:hAnsi="Times New Roman" w:cs="Times New Roman"/>
          <w:b/>
          <w:sz w:val="20"/>
          <w:szCs w:val="20"/>
        </w:rPr>
      </w:pPr>
    </w:p>
    <w:p w14:paraId="79EF6EC5" w14:textId="6D11B746" w:rsidR="00230BBA" w:rsidRDefault="004175C4" w:rsidP="00130994">
      <w:pPr>
        <w:spacing w:after="0" w:line="360" w:lineRule="auto"/>
        <w:jc w:val="both"/>
        <w:rPr>
          <w:rFonts w:ascii="Times New Roman" w:hAnsi="Times New Roman" w:cs="Times New Roman"/>
          <w:b/>
          <w:i/>
          <w:sz w:val="24"/>
          <w:szCs w:val="24"/>
        </w:rPr>
      </w:pPr>
      <w:r w:rsidRPr="004175C4">
        <w:rPr>
          <w:rFonts w:ascii="Times New Roman" w:hAnsi="Times New Roman" w:cs="Times New Roman"/>
          <w:b/>
          <w:i/>
          <w:sz w:val="24"/>
          <w:szCs w:val="24"/>
        </w:rPr>
        <w:t>Comparación de interrupción y término de las terapias</w:t>
      </w:r>
      <w:r>
        <w:rPr>
          <w:rFonts w:ascii="Times New Roman" w:hAnsi="Times New Roman" w:cs="Times New Roman"/>
          <w:b/>
          <w:i/>
          <w:sz w:val="24"/>
          <w:szCs w:val="24"/>
        </w:rPr>
        <w:t xml:space="preserve"> en COSAM versus centros de atención universitaria</w:t>
      </w:r>
    </w:p>
    <w:p w14:paraId="56D98C25" w14:textId="5BB0ED3E" w:rsidR="004175C4" w:rsidRDefault="004175C4" w:rsidP="00130994">
      <w:pPr>
        <w:spacing w:after="0" w:line="360" w:lineRule="auto"/>
        <w:jc w:val="both"/>
        <w:rPr>
          <w:rFonts w:ascii="Times New Roman" w:hAnsi="Times New Roman" w:cs="Times New Roman"/>
          <w:b/>
          <w:i/>
          <w:sz w:val="24"/>
          <w:szCs w:val="24"/>
        </w:rPr>
      </w:pPr>
    </w:p>
    <w:p w14:paraId="2D8A4442" w14:textId="4554A094" w:rsidR="004175C4" w:rsidRDefault="004175C4" w:rsidP="00130994">
      <w:pPr>
        <w:spacing w:after="0" w:line="360" w:lineRule="auto"/>
        <w:jc w:val="both"/>
        <w:rPr>
          <w:rFonts w:ascii="Times New Roman" w:hAnsi="Times New Roman" w:cs="Times New Roman"/>
          <w:sz w:val="24"/>
          <w:szCs w:val="24"/>
        </w:rPr>
      </w:pPr>
      <w:r>
        <w:rPr>
          <w:rFonts w:ascii="Times New Roman" w:hAnsi="Times New Roman" w:cs="Times New Roman"/>
          <w:b/>
          <w:i/>
          <w:sz w:val="24"/>
          <w:szCs w:val="24"/>
        </w:rPr>
        <w:tab/>
      </w:r>
      <w:r>
        <w:rPr>
          <w:rFonts w:ascii="Times New Roman" w:hAnsi="Times New Roman" w:cs="Times New Roman"/>
          <w:sz w:val="24"/>
          <w:szCs w:val="24"/>
        </w:rPr>
        <w:t xml:space="preserve">En los 6 meses de seguimiento, un 29,85% de los pacientes </w:t>
      </w:r>
      <w:r w:rsidR="00517BA9">
        <w:rPr>
          <w:rFonts w:ascii="Times New Roman" w:hAnsi="Times New Roman" w:cs="Times New Roman"/>
          <w:sz w:val="24"/>
          <w:szCs w:val="24"/>
        </w:rPr>
        <w:t xml:space="preserve">que se atendían en el sector público fueron dados de alta, en contraste con el 19,46% del sector privado. En cambio, solo un 6.71% de los pacientes que se atendían en centros universitarios abandonaron el tratamiento, contra un 22,39% de los pacientes COSAM. </w:t>
      </w:r>
      <w:r w:rsidR="00382D04">
        <w:rPr>
          <w:rFonts w:ascii="Times New Roman" w:hAnsi="Times New Roman" w:cs="Times New Roman"/>
          <w:sz w:val="24"/>
          <w:szCs w:val="24"/>
        </w:rPr>
        <w:t>Estas diferencias en las proporciones resultaron ser estadísticamente significativas</w:t>
      </w:r>
      <w:r w:rsidR="00852F84">
        <w:rPr>
          <w:rFonts w:ascii="Times New Roman" w:hAnsi="Times New Roman" w:cs="Times New Roman"/>
          <w:sz w:val="24"/>
          <w:szCs w:val="24"/>
        </w:rPr>
        <w:t xml:space="preserve"> (</w:t>
      </w:r>
      <w:r w:rsidR="00623BA0">
        <w:rPr>
          <w:rFonts w:ascii="Times New Roman" w:hAnsi="Times New Roman" w:cs="Times New Roman"/>
          <w:sz w:val="24"/>
          <w:szCs w:val="24"/>
        </w:rPr>
        <w:t>p &lt; .001</w:t>
      </w:r>
      <w:r w:rsidR="00852F84">
        <w:rPr>
          <w:rFonts w:ascii="Times New Roman" w:hAnsi="Times New Roman" w:cs="Times New Roman"/>
          <w:sz w:val="24"/>
          <w:szCs w:val="24"/>
        </w:rPr>
        <w:t>)</w:t>
      </w:r>
    </w:p>
    <w:p w14:paraId="32BE7890" w14:textId="5023F49E" w:rsidR="00517BA9" w:rsidRDefault="00517BA9" w:rsidP="00130994">
      <w:pPr>
        <w:spacing w:after="0" w:line="360" w:lineRule="auto"/>
        <w:jc w:val="both"/>
        <w:rPr>
          <w:rFonts w:ascii="Times New Roman" w:hAnsi="Times New Roman" w:cs="Times New Roman"/>
          <w:sz w:val="24"/>
          <w:szCs w:val="24"/>
        </w:rPr>
      </w:pPr>
    </w:p>
    <w:p w14:paraId="0E6C361B" w14:textId="75718A48" w:rsidR="00517BA9" w:rsidRDefault="00517BA9" w:rsidP="00130994">
      <w:pPr>
        <w:spacing w:after="0" w:line="360" w:lineRule="auto"/>
        <w:jc w:val="both"/>
        <w:rPr>
          <w:rFonts w:ascii="Times New Roman" w:hAnsi="Times New Roman" w:cs="Times New Roman"/>
          <w:b/>
          <w:i/>
          <w:sz w:val="24"/>
          <w:szCs w:val="24"/>
        </w:rPr>
      </w:pPr>
      <w:r w:rsidRPr="00517BA9">
        <w:rPr>
          <w:rFonts w:ascii="Times New Roman" w:hAnsi="Times New Roman" w:cs="Times New Roman"/>
          <w:b/>
          <w:i/>
          <w:sz w:val="24"/>
          <w:szCs w:val="24"/>
        </w:rPr>
        <w:t xml:space="preserve">Resultados terapéuticos en </w:t>
      </w:r>
      <w:r>
        <w:rPr>
          <w:rFonts w:ascii="Times New Roman" w:hAnsi="Times New Roman" w:cs="Times New Roman"/>
          <w:b/>
          <w:i/>
          <w:sz w:val="24"/>
          <w:szCs w:val="24"/>
        </w:rPr>
        <w:t>pacientes que llegaron al alta</w:t>
      </w:r>
    </w:p>
    <w:p w14:paraId="1FD2E039" w14:textId="77777777" w:rsidR="00C03132" w:rsidRDefault="00C03132" w:rsidP="00130994">
      <w:pPr>
        <w:spacing w:after="0" w:line="360" w:lineRule="auto"/>
        <w:jc w:val="both"/>
        <w:rPr>
          <w:rFonts w:ascii="Times New Roman" w:hAnsi="Times New Roman" w:cs="Times New Roman"/>
          <w:b/>
          <w:i/>
          <w:sz w:val="24"/>
          <w:szCs w:val="24"/>
        </w:rPr>
      </w:pPr>
    </w:p>
    <w:p w14:paraId="759EF4F2" w14:textId="4AA08097" w:rsidR="007727FB" w:rsidRDefault="00D130C7" w:rsidP="00130994">
      <w:pPr>
        <w:spacing w:after="0" w:line="360" w:lineRule="auto"/>
        <w:jc w:val="both"/>
        <w:rPr>
          <w:rFonts w:ascii="Times New Roman" w:hAnsi="Times New Roman" w:cs="Times New Roman"/>
          <w:sz w:val="24"/>
          <w:szCs w:val="24"/>
        </w:rPr>
      </w:pPr>
      <w:r>
        <w:rPr>
          <w:rFonts w:ascii="Times New Roman" w:hAnsi="Times New Roman" w:cs="Times New Roman"/>
          <w:b/>
          <w:i/>
          <w:sz w:val="24"/>
          <w:szCs w:val="24"/>
        </w:rPr>
        <w:tab/>
      </w:r>
      <w:r w:rsidR="001C1A57" w:rsidRPr="001C1A57">
        <w:rPr>
          <w:rFonts w:ascii="Times New Roman" w:hAnsi="Times New Roman" w:cs="Times New Roman"/>
          <w:sz w:val="24"/>
          <w:szCs w:val="24"/>
        </w:rPr>
        <w:t xml:space="preserve">De los </w:t>
      </w:r>
      <w:r w:rsidR="001C1A57">
        <w:rPr>
          <w:rFonts w:ascii="Times New Roman" w:hAnsi="Times New Roman" w:cs="Times New Roman"/>
          <w:sz w:val="24"/>
          <w:szCs w:val="24"/>
        </w:rPr>
        <w:t xml:space="preserve">219 participantes a los cuales se les hizo seguimiento de sus terapias, 49 fueron dados de alta durante el período </w:t>
      </w:r>
      <w:r w:rsidR="007F5A7C">
        <w:rPr>
          <w:rFonts w:ascii="Times New Roman" w:hAnsi="Times New Roman" w:cs="Times New Roman"/>
          <w:sz w:val="24"/>
          <w:szCs w:val="24"/>
        </w:rPr>
        <w:t>evaluad</w:t>
      </w:r>
      <w:r w:rsidR="001C1A57">
        <w:rPr>
          <w:rFonts w:ascii="Times New Roman" w:hAnsi="Times New Roman" w:cs="Times New Roman"/>
          <w:sz w:val="24"/>
          <w:szCs w:val="24"/>
        </w:rPr>
        <w:t xml:space="preserve">o. </w:t>
      </w:r>
      <w:r w:rsidR="009E07FD">
        <w:rPr>
          <w:rFonts w:ascii="Times New Roman" w:hAnsi="Times New Roman" w:cs="Times New Roman"/>
          <w:sz w:val="24"/>
          <w:szCs w:val="24"/>
        </w:rPr>
        <w:t>En la Tabla 3.3, resume los indicadores clínicos medidos en la primera entrevista y al momento del alta de la muestra proveniente de pacientes COSAM y de centros universitarios</w:t>
      </w:r>
      <w:r w:rsidR="00C327A8">
        <w:rPr>
          <w:rFonts w:ascii="Times New Roman" w:hAnsi="Times New Roman" w:cs="Times New Roman"/>
          <w:sz w:val="24"/>
          <w:szCs w:val="24"/>
        </w:rPr>
        <w:t>, solo para los pacientes que terminaron la terapia por un acuerdo mutuo con el terapeuta (alta)</w:t>
      </w:r>
      <w:r w:rsidR="009E07FD">
        <w:rPr>
          <w:rFonts w:ascii="Times New Roman" w:hAnsi="Times New Roman" w:cs="Times New Roman"/>
          <w:sz w:val="24"/>
          <w:szCs w:val="24"/>
        </w:rPr>
        <w:t xml:space="preserve">. </w:t>
      </w:r>
      <w:r w:rsidR="00C327A8">
        <w:rPr>
          <w:rFonts w:ascii="Times New Roman" w:hAnsi="Times New Roman" w:cs="Times New Roman"/>
          <w:sz w:val="24"/>
          <w:szCs w:val="24"/>
        </w:rPr>
        <w:t xml:space="preserve">Se incluye el porcentaje de pacientes que presentaron puntaje BDI sobre el corte, tanto en la primera entrevista como al momento del alta. Llama la atención que en ambos grupos el porcentaje de pacientes con puntaje sobre el punto de corte para el BDI es mayor al 50%. </w:t>
      </w:r>
      <w:r w:rsidR="00E95021">
        <w:rPr>
          <w:rFonts w:ascii="Times New Roman" w:hAnsi="Times New Roman" w:cs="Times New Roman"/>
          <w:sz w:val="24"/>
          <w:szCs w:val="24"/>
        </w:rPr>
        <w:t xml:space="preserve">Sin embargo, no se encontraron diferencias entre ambas mediciones para ninguna de los dos grupos (COSAM: </w:t>
      </w:r>
      <w:r w:rsidR="00E95021" w:rsidRPr="00A1795C">
        <w:rPr>
          <w:rFonts w:ascii="Times New Roman" w:hAnsi="Times New Roman" w:cs="Times New Roman"/>
          <w:i/>
          <w:sz w:val="24"/>
          <w:szCs w:val="24"/>
        </w:rPr>
        <w:t>p</w:t>
      </w:r>
      <w:r w:rsidR="00E95021">
        <w:rPr>
          <w:rFonts w:ascii="Times New Roman" w:hAnsi="Times New Roman" w:cs="Times New Roman"/>
          <w:sz w:val="24"/>
          <w:szCs w:val="24"/>
        </w:rPr>
        <w:t xml:space="preserve"> = 1; Centros de atención universitaria: </w:t>
      </w:r>
      <w:r w:rsidR="00E95021" w:rsidRPr="00A1795C">
        <w:rPr>
          <w:rFonts w:ascii="Times New Roman" w:hAnsi="Times New Roman" w:cs="Times New Roman"/>
          <w:i/>
          <w:sz w:val="24"/>
          <w:szCs w:val="24"/>
        </w:rPr>
        <w:t>p</w:t>
      </w:r>
      <w:r w:rsidR="00E95021">
        <w:rPr>
          <w:rFonts w:ascii="Times New Roman" w:hAnsi="Times New Roman" w:cs="Times New Roman"/>
          <w:sz w:val="24"/>
          <w:szCs w:val="24"/>
        </w:rPr>
        <w:t xml:space="preserve"> = ,55).</w:t>
      </w:r>
      <w:r w:rsidR="00C03132">
        <w:rPr>
          <w:rFonts w:ascii="Times New Roman" w:hAnsi="Times New Roman" w:cs="Times New Roman"/>
          <w:sz w:val="24"/>
          <w:szCs w:val="24"/>
        </w:rPr>
        <w:t xml:space="preserve"> Por otro lado, se realizó un ANOVA mixto para evaluar si existía</w:t>
      </w:r>
      <w:r w:rsidR="00435D94">
        <w:rPr>
          <w:rFonts w:ascii="Times New Roman" w:hAnsi="Times New Roman" w:cs="Times New Roman"/>
          <w:sz w:val="24"/>
          <w:szCs w:val="24"/>
        </w:rPr>
        <w:t xml:space="preserve"> un efecto de interacción entre las mediciones pre y post terapia y la muestra a la que pertenecía el paciente en el malestar general, pero no se observó un efecto de interacción significativo (</w:t>
      </w:r>
      <w:r w:rsidR="00435D94" w:rsidRPr="00A1795C">
        <w:rPr>
          <w:rFonts w:ascii="Times New Roman" w:hAnsi="Times New Roman" w:cs="Times New Roman"/>
          <w:i/>
          <w:sz w:val="24"/>
          <w:szCs w:val="24"/>
        </w:rPr>
        <w:t>F</w:t>
      </w:r>
      <w:r w:rsidR="00435D94" w:rsidRPr="00435D94">
        <w:rPr>
          <w:rFonts w:ascii="Times New Roman" w:hAnsi="Times New Roman" w:cs="Times New Roman"/>
          <w:sz w:val="24"/>
          <w:szCs w:val="24"/>
          <w:vertAlign w:val="subscript"/>
        </w:rPr>
        <w:t>(1, 78)</w:t>
      </w:r>
      <w:r w:rsidR="00435D94">
        <w:rPr>
          <w:rFonts w:ascii="Times New Roman" w:hAnsi="Times New Roman" w:cs="Times New Roman"/>
          <w:sz w:val="24"/>
          <w:szCs w:val="24"/>
        </w:rPr>
        <w:t xml:space="preserve"> = 1,53, </w:t>
      </w:r>
      <w:r w:rsidR="00435D94" w:rsidRPr="00A1795C">
        <w:rPr>
          <w:rFonts w:ascii="Times New Roman" w:hAnsi="Times New Roman" w:cs="Times New Roman"/>
          <w:i/>
          <w:sz w:val="24"/>
          <w:szCs w:val="24"/>
        </w:rPr>
        <w:t>p</w:t>
      </w:r>
      <w:r w:rsidR="00435D94">
        <w:rPr>
          <w:rFonts w:ascii="Times New Roman" w:hAnsi="Times New Roman" w:cs="Times New Roman"/>
          <w:sz w:val="24"/>
          <w:szCs w:val="24"/>
        </w:rPr>
        <w:t xml:space="preserve"> = ,22) </w:t>
      </w:r>
      <w:r w:rsidR="00E95021">
        <w:rPr>
          <w:rFonts w:ascii="Times New Roman" w:hAnsi="Times New Roman" w:cs="Times New Roman"/>
          <w:sz w:val="24"/>
          <w:szCs w:val="24"/>
        </w:rPr>
        <w:t xml:space="preserve"> </w:t>
      </w:r>
      <w:r w:rsidR="00A1795C">
        <w:rPr>
          <w:rFonts w:ascii="Times New Roman" w:hAnsi="Times New Roman" w:cs="Times New Roman"/>
          <w:sz w:val="24"/>
          <w:szCs w:val="24"/>
        </w:rPr>
        <w:t>ni un efecto principal de la medición (</w:t>
      </w:r>
      <w:r w:rsidR="00A1795C" w:rsidRPr="00A1795C">
        <w:rPr>
          <w:rFonts w:ascii="Times New Roman" w:hAnsi="Times New Roman" w:cs="Times New Roman"/>
          <w:i/>
          <w:sz w:val="24"/>
          <w:szCs w:val="24"/>
        </w:rPr>
        <w:t>F</w:t>
      </w:r>
      <w:r w:rsidR="00A1795C" w:rsidRPr="00A1795C">
        <w:rPr>
          <w:rFonts w:ascii="Times New Roman" w:hAnsi="Times New Roman" w:cs="Times New Roman"/>
          <w:sz w:val="24"/>
          <w:szCs w:val="24"/>
          <w:vertAlign w:val="subscript"/>
        </w:rPr>
        <w:t xml:space="preserve">(1,78) </w:t>
      </w:r>
      <w:r w:rsidR="00A1795C">
        <w:rPr>
          <w:rFonts w:ascii="Times New Roman" w:hAnsi="Times New Roman" w:cs="Times New Roman"/>
          <w:sz w:val="24"/>
          <w:szCs w:val="24"/>
        </w:rPr>
        <w:t xml:space="preserve">= 0.07, </w:t>
      </w:r>
      <w:r w:rsidR="00A1795C" w:rsidRPr="00A1795C">
        <w:rPr>
          <w:rFonts w:ascii="Times New Roman" w:hAnsi="Times New Roman" w:cs="Times New Roman"/>
          <w:i/>
          <w:sz w:val="24"/>
          <w:szCs w:val="24"/>
        </w:rPr>
        <w:t>p</w:t>
      </w:r>
      <w:r w:rsidR="00A1795C">
        <w:rPr>
          <w:rFonts w:ascii="Times New Roman" w:hAnsi="Times New Roman" w:cs="Times New Roman"/>
          <w:sz w:val="24"/>
          <w:szCs w:val="24"/>
        </w:rPr>
        <w:t xml:space="preserve"> = .79) ni de la muestra (</w:t>
      </w:r>
      <w:r w:rsidR="00A1795C" w:rsidRPr="00A1795C">
        <w:rPr>
          <w:rFonts w:ascii="Times New Roman" w:hAnsi="Times New Roman" w:cs="Times New Roman"/>
          <w:i/>
          <w:sz w:val="24"/>
          <w:szCs w:val="24"/>
        </w:rPr>
        <w:t>F</w:t>
      </w:r>
      <w:r w:rsidR="00A1795C" w:rsidRPr="00A1795C">
        <w:rPr>
          <w:rFonts w:ascii="Times New Roman" w:hAnsi="Times New Roman" w:cs="Times New Roman"/>
          <w:sz w:val="24"/>
          <w:szCs w:val="24"/>
          <w:vertAlign w:val="subscript"/>
        </w:rPr>
        <w:t>(1,78)</w:t>
      </w:r>
      <w:r w:rsidR="00A1795C">
        <w:rPr>
          <w:rFonts w:ascii="Times New Roman" w:hAnsi="Times New Roman" w:cs="Times New Roman"/>
          <w:sz w:val="24"/>
          <w:szCs w:val="24"/>
        </w:rPr>
        <w:t xml:space="preserve"> = 1.52, </w:t>
      </w:r>
      <w:r w:rsidR="00A1795C" w:rsidRPr="00A1795C">
        <w:rPr>
          <w:rFonts w:ascii="Times New Roman" w:hAnsi="Times New Roman" w:cs="Times New Roman"/>
          <w:i/>
          <w:sz w:val="24"/>
          <w:szCs w:val="24"/>
        </w:rPr>
        <w:t>p</w:t>
      </w:r>
      <w:r w:rsidR="00A1795C">
        <w:rPr>
          <w:rFonts w:ascii="Times New Roman" w:hAnsi="Times New Roman" w:cs="Times New Roman"/>
          <w:sz w:val="24"/>
          <w:szCs w:val="24"/>
        </w:rPr>
        <w:t xml:space="preserve"> = .22).</w:t>
      </w:r>
    </w:p>
    <w:p w14:paraId="1959D872" w14:textId="77777777" w:rsidR="005D00A1" w:rsidRDefault="005D00A1" w:rsidP="00130994">
      <w:pPr>
        <w:spacing w:after="0" w:line="360" w:lineRule="auto"/>
        <w:jc w:val="both"/>
        <w:rPr>
          <w:rFonts w:ascii="Times New Roman" w:hAnsi="Times New Roman" w:cs="Times New Roman"/>
          <w:sz w:val="24"/>
          <w:szCs w:val="24"/>
        </w:rPr>
      </w:pPr>
    </w:p>
    <w:p w14:paraId="3BB3DDB8" w14:textId="3BED438D" w:rsidR="005D00A1" w:rsidRPr="00CF1ED3" w:rsidRDefault="005D00A1" w:rsidP="005D00A1">
      <w:pPr>
        <w:spacing w:after="0" w:line="240" w:lineRule="auto"/>
        <w:jc w:val="both"/>
        <w:rPr>
          <w:rFonts w:ascii="Times New Roman" w:hAnsi="Times New Roman" w:cs="Times New Roman"/>
          <w:sz w:val="20"/>
          <w:szCs w:val="20"/>
        </w:rPr>
      </w:pPr>
      <w:r>
        <w:rPr>
          <w:rFonts w:ascii="Times New Roman" w:hAnsi="Times New Roman" w:cs="Times New Roman"/>
          <w:b/>
          <w:sz w:val="20"/>
          <w:szCs w:val="20"/>
        </w:rPr>
        <w:t xml:space="preserve">Tabla 3.3. </w:t>
      </w:r>
      <w:r>
        <w:rPr>
          <w:rFonts w:ascii="Times New Roman" w:hAnsi="Times New Roman" w:cs="Times New Roman"/>
          <w:sz w:val="20"/>
          <w:szCs w:val="20"/>
        </w:rPr>
        <w:t>Comparación de los resultados terapéuticos entre pacientes atendidos en instituciones privadas/universitarias y públicas.</w:t>
      </w:r>
    </w:p>
    <w:tbl>
      <w:tblPr>
        <w:tblW w:w="9383" w:type="dxa"/>
        <w:tblInd w:w="70" w:type="dxa"/>
        <w:tblCellMar>
          <w:left w:w="70" w:type="dxa"/>
          <w:right w:w="70" w:type="dxa"/>
        </w:tblCellMar>
        <w:tblLook w:val="04A0" w:firstRow="1" w:lastRow="0" w:firstColumn="1" w:lastColumn="0" w:noHBand="0" w:noVBand="1"/>
      </w:tblPr>
      <w:tblGrid>
        <w:gridCol w:w="1240"/>
        <w:gridCol w:w="1737"/>
        <w:gridCol w:w="1720"/>
        <w:gridCol w:w="1486"/>
        <w:gridCol w:w="1860"/>
        <w:gridCol w:w="1340"/>
      </w:tblGrid>
      <w:tr w:rsidR="005D00A1" w:rsidRPr="005D00A1" w14:paraId="11E53DB0" w14:textId="77777777" w:rsidTr="005D00A1">
        <w:trPr>
          <w:trHeight w:val="288"/>
        </w:trPr>
        <w:tc>
          <w:tcPr>
            <w:tcW w:w="1240" w:type="dxa"/>
            <w:tcBorders>
              <w:top w:val="nil"/>
              <w:left w:val="nil"/>
              <w:bottom w:val="nil"/>
              <w:right w:val="nil"/>
            </w:tcBorders>
            <w:shd w:val="clear" w:color="auto" w:fill="auto"/>
            <w:noWrap/>
            <w:vAlign w:val="bottom"/>
            <w:hideMark/>
          </w:tcPr>
          <w:p w14:paraId="20741546" w14:textId="77777777" w:rsidR="005D00A1" w:rsidRPr="005D00A1" w:rsidRDefault="005D00A1" w:rsidP="005D00A1">
            <w:pPr>
              <w:spacing w:after="0" w:line="240" w:lineRule="auto"/>
              <w:rPr>
                <w:rFonts w:ascii="Times New Roman" w:eastAsia="Times New Roman" w:hAnsi="Times New Roman" w:cs="Times New Roman"/>
                <w:sz w:val="24"/>
                <w:szCs w:val="24"/>
                <w:lang w:eastAsia="es-CL"/>
              </w:rPr>
            </w:pPr>
          </w:p>
        </w:tc>
        <w:tc>
          <w:tcPr>
            <w:tcW w:w="1737" w:type="dxa"/>
            <w:tcBorders>
              <w:top w:val="nil"/>
              <w:left w:val="nil"/>
              <w:bottom w:val="nil"/>
              <w:right w:val="nil"/>
            </w:tcBorders>
            <w:shd w:val="clear" w:color="auto" w:fill="auto"/>
            <w:noWrap/>
            <w:vAlign w:val="bottom"/>
            <w:hideMark/>
          </w:tcPr>
          <w:p w14:paraId="2060E0E5" w14:textId="77777777" w:rsidR="005D00A1" w:rsidRPr="005D00A1" w:rsidRDefault="005D00A1" w:rsidP="005D00A1">
            <w:pPr>
              <w:spacing w:after="0" w:line="240" w:lineRule="auto"/>
              <w:rPr>
                <w:rFonts w:ascii="Times New Roman" w:eastAsia="Times New Roman" w:hAnsi="Times New Roman" w:cs="Times New Roman"/>
                <w:sz w:val="20"/>
                <w:szCs w:val="20"/>
                <w:lang w:eastAsia="es-CL"/>
              </w:rPr>
            </w:pPr>
          </w:p>
        </w:tc>
        <w:tc>
          <w:tcPr>
            <w:tcW w:w="3206" w:type="dxa"/>
            <w:gridSpan w:val="2"/>
            <w:tcBorders>
              <w:top w:val="single" w:sz="4" w:space="0" w:color="auto"/>
              <w:left w:val="nil"/>
              <w:bottom w:val="nil"/>
              <w:right w:val="nil"/>
            </w:tcBorders>
            <w:shd w:val="clear" w:color="auto" w:fill="auto"/>
            <w:noWrap/>
            <w:vAlign w:val="bottom"/>
            <w:hideMark/>
          </w:tcPr>
          <w:p w14:paraId="3FA06917" w14:textId="77777777" w:rsidR="005D00A1" w:rsidRPr="005D00A1" w:rsidRDefault="005D00A1" w:rsidP="005D00A1">
            <w:pPr>
              <w:spacing w:after="0" w:line="240" w:lineRule="auto"/>
              <w:jc w:val="center"/>
              <w:rPr>
                <w:rFonts w:ascii="Times New Roman" w:eastAsia="Times New Roman" w:hAnsi="Times New Roman" w:cs="Times New Roman"/>
                <w:color w:val="000000"/>
                <w:lang w:eastAsia="es-CL"/>
              </w:rPr>
            </w:pPr>
            <w:r w:rsidRPr="005D00A1">
              <w:rPr>
                <w:rFonts w:ascii="Times New Roman" w:eastAsia="Times New Roman" w:hAnsi="Times New Roman" w:cs="Times New Roman"/>
                <w:color w:val="000000"/>
                <w:lang w:eastAsia="es-CL"/>
              </w:rPr>
              <w:t>Publica</w:t>
            </w:r>
          </w:p>
        </w:tc>
        <w:tc>
          <w:tcPr>
            <w:tcW w:w="3200" w:type="dxa"/>
            <w:gridSpan w:val="2"/>
            <w:tcBorders>
              <w:top w:val="single" w:sz="4" w:space="0" w:color="auto"/>
              <w:left w:val="nil"/>
              <w:bottom w:val="nil"/>
              <w:right w:val="nil"/>
            </w:tcBorders>
            <w:shd w:val="clear" w:color="auto" w:fill="auto"/>
            <w:noWrap/>
            <w:vAlign w:val="bottom"/>
            <w:hideMark/>
          </w:tcPr>
          <w:p w14:paraId="07EC5E2B" w14:textId="77777777" w:rsidR="005D00A1" w:rsidRPr="005D00A1" w:rsidRDefault="005D00A1" w:rsidP="005D00A1">
            <w:pPr>
              <w:spacing w:after="0" w:line="240" w:lineRule="auto"/>
              <w:jc w:val="center"/>
              <w:rPr>
                <w:rFonts w:ascii="Times New Roman" w:eastAsia="Times New Roman" w:hAnsi="Times New Roman" w:cs="Times New Roman"/>
                <w:color w:val="000000"/>
                <w:lang w:eastAsia="es-CL"/>
              </w:rPr>
            </w:pPr>
            <w:r w:rsidRPr="005D00A1">
              <w:rPr>
                <w:rFonts w:ascii="Times New Roman" w:eastAsia="Times New Roman" w:hAnsi="Times New Roman" w:cs="Times New Roman"/>
                <w:color w:val="000000"/>
                <w:lang w:eastAsia="es-CL"/>
              </w:rPr>
              <w:t>Privada/Universitaria</w:t>
            </w:r>
          </w:p>
        </w:tc>
      </w:tr>
      <w:tr w:rsidR="005D00A1" w:rsidRPr="005D00A1" w14:paraId="25762439" w14:textId="77777777" w:rsidTr="005D00A1">
        <w:trPr>
          <w:trHeight w:val="288"/>
        </w:trPr>
        <w:tc>
          <w:tcPr>
            <w:tcW w:w="1240" w:type="dxa"/>
            <w:tcBorders>
              <w:top w:val="nil"/>
              <w:left w:val="nil"/>
              <w:bottom w:val="nil"/>
              <w:right w:val="nil"/>
            </w:tcBorders>
            <w:shd w:val="clear" w:color="auto" w:fill="auto"/>
            <w:noWrap/>
            <w:vAlign w:val="bottom"/>
            <w:hideMark/>
          </w:tcPr>
          <w:p w14:paraId="227C46E8" w14:textId="77777777" w:rsidR="005D00A1" w:rsidRPr="005D00A1" w:rsidRDefault="005D00A1" w:rsidP="005D00A1">
            <w:pPr>
              <w:spacing w:after="0" w:line="240" w:lineRule="auto"/>
              <w:jc w:val="center"/>
              <w:rPr>
                <w:rFonts w:ascii="Times New Roman" w:eastAsia="Times New Roman" w:hAnsi="Times New Roman" w:cs="Times New Roman"/>
                <w:color w:val="000000"/>
                <w:lang w:eastAsia="es-CL"/>
              </w:rPr>
            </w:pPr>
          </w:p>
        </w:tc>
        <w:tc>
          <w:tcPr>
            <w:tcW w:w="1737" w:type="dxa"/>
            <w:tcBorders>
              <w:top w:val="nil"/>
              <w:left w:val="nil"/>
              <w:bottom w:val="nil"/>
              <w:right w:val="nil"/>
            </w:tcBorders>
            <w:shd w:val="clear" w:color="auto" w:fill="auto"/>
            <w:noWrap/>
            <w:vAlign w:val="bottom"/>
            <w:hideMark/>
          </w:tcPr>
          <w:p w14:paraId="14B8EE14" w14:textId="77777777" w:rsidR="005D00A1" w:rsidRPr="005D00A1" w:rsidRDefault="005D00A1" w:rsidP="005D00A1">
            <w:pPr>
              <w:spacing w:after="0" w:line="240" w:lineRule="auto"/>
              <w:rPr>
                <w:rFonts w:ascii="Times New Roman" w:eastAsia="Times New Roman" w:hAnsi="Times New Roman" w:cs="Times New Roman"/>
                <w:sz w:val="20"/>
                <w:szCs w:val="20"/>
                <w:lang w:eastAsia="es-CL"/>
              </w:rPr>
            </w:pPr>
          </w:p>
        </w:tc>
        <w:tc>
          <w:tcPr>
            <w:tcW w:w="1720" w:type="dxa"/>
            <w:tcBorders>
              <w:top w:val="nil"/>
              <w:left w:val="nil"/>
              <w:bottom w:val="single" w:sz="4" w:space="0" w:color="auto"/>
              <w:right w:val="nil"/>
            </w:tcBorders>
            <w:shd w:val="clear" w:color="auto" w:fill="auto"/>
            <w:noWrap/>
            <w:vAlign w:val="bottom"/>
            <w:hideMark/>
          </w:tcPr>
          <w:p w14:paraId="159226CC" w14:textId="77777777" w:rsidR="005D00A1" w:rsidRPr="005D00A1" w:rsidRDefault="005D00A1" w:rsidP="005D00A1">
            <w:pPr>
              <w:spacing w:after="0" w:line="240" w:lineRule="auto"/>
              <w:jc w:val="center"/>
              <w:rPr>
                <w:rFonts w:ascii="Times New Roman" w:eastAsia="Times New Roman" w:hAnsi="Times New Roman" w:cs="Times New Roman"/>
                <w:color w:val="000000"/>
                <w:lang w:eastAsia="es-CL"/>
              </w:rPr>
            </w:pPr>
            <w:r w:rsidRPr="005D00A1">
              <w:rPr>
                <w:rFonts w:ascii="Times New Roman" w:eastAsia="Times New Roman" w:hAnsi="Times New Roman" w:cs="Times New Roman"/>
                <w:color w:val="000000"/>
                <w:lang w:eastAsia="es-CL"/>
              </w:rPr>
              <w:t>Primera Entrevista</w:t>
            </w:r>
          </w:p>
        </w:tc>
        <w:tc>
          <w:tcPr>
            <w:tcW w:w="1486" w:type="dxa"/>
            <w:tcBorders>
              <w:top w:val="nil"/>
              <w:left w:val="nil"/>
              <w:bottom w:val="single" w:sz="4" w:space="0" w:color="auto"/>
              <w:right w:val="nil"/>
            </w:tcBorders>
            <w:shd w:val="clear" w:color="auto" w:fill="auto"/>
            <w:noWrap/>
            <w:vAlign w:val="bottom"/>
            <w:hideMark/>
          </w:tcPr>
          <w:p w14:paraId="22E7160F" w14:textId="77777777" w:rsidR="005D00A1" w:rsidRPr="005D00A1" w:rsidRDefault="005D00A1" w:rsidP="005D00A1">
            <w:pPr>
              <w:spacing w:after="0" w:line="240" w:lineRule="auto"/>
              <w:jc w:val="center"/>
              <w:rPr>
                <w:rFonts w:ascii="Times New Roman" w:eastAsia="Times New Roman" w:hAnsi="Times New Roman" w:cs="Times New Roman"/>
                <w:color w:val="000000"/>
                <w:lang w:eastAsia="es-CL"/>
              </w:rPr>
            </w:pPr>
            <w:r w:rsidRPr="005D00A1">
              <w:rPr>
                <w:rFonts w:ascii="Times New Roman" w:eastAsia="Times New Roman" w:hAnsi="Times New Roman" w:cs="Times New Roman"/>
                <w:color w:val="000000"/>
                <w:lang w:eastAsia="es-CL"/>
              </w:rPr>
              <w:t>Al Alta</w:t>
            </w:r>
          </w:p>
        </w:tc>
        <w:tc>
          <w:tcPr>
            <w:tcW w:w="1860" w:type="dxa"/>
            <w:tcBorders>
              <w:top w:val="nil"/>
              <w:left w:val="nil"/>
              <w:bottom w:val="single" w:sz="4" w:space="0" w:color="auto"/>
              <w:right w:val="nil"/>
            </w:tcBorders>
            <w:shd w:val="clear" w:color="auto" w:fill="auto"/>
            <w:noWrap/>
            <w:vAlign w:val="bottom"/>
            <w:hideMark/>
          </w:tcPr>
          <w:p w14:paraId="16460EE6" w14:textId="77777777" w:rsidR="005D00A1" w:rsidRPr="005D00A1" w:rsidRDefault="005D00A1" w:rsidP="005D00A1">
            <w:pPr>
              <w:spacing w:after="0" w:line="240" w:lineRule="auto"/>
              <w:jc w:val="center"/>
              <w:rPr>
                <w:rFonts w:ascii="Times New Roman" w:eastAsia="Times New Roman" w:hAnsi="Times New Roman" w:cs="Times New Roman"/>
                <w:color w:val="000000"/>
                <w:lang w:eastAsia="es-CL"/>
              </w:rPr>
            </w:pPr>
            <w:r w:rsidRPr="005D00A1">
              <w:rPr>
                <w:rFonts w:ascii="Times New Roman" w:eastAsia="Times New Roman" w:hAnsi="Times New Roman" w:cs="Times New Roman"/>
                <w:color w:val="000000"/>
                <w:lang w:eastAsia="es-CL"/>
              </w:rPr>
              <w:t>Primera Entrevista</w:t>
            </w:r>
          </w:p>
        </w:tc>
        <w:tc>
          <w:tcPr>
            <w:tcW w:w="1340" w:type="dxa"/>
            <w:tcBorders>
              <w:top w:val="nil"/>
              <w:left w:val="nil"/>
              <w:bottom w:val="single" w:sz="4" w:space="0" w:color="auto"/>
              <w:right w:val="nil"/>
            </w:tcBorders>
            <w:shd w:val="clear" w:color="auto" w:fill="auto"/>
            <w:noWrap/>
            <w:vAlign w:val="bottom"/>
            <w:hideMark/>
          </w:tcPr>
          <w:p w14:paraId="18B6520B" w14:textId="77777777" w:rsidR="005D00A1" w:rsidRPr="005D00A1" w:rsidRDefault="005D00A1" w:rsidP="005D00A1">
            <w:pPr>
              <w:spacing w:after="0" w:line="240" w:lineRule="auto"/>
              <w:jc w:val="center"/>
              <w:rPr>
                <w:rFonts w:ascii="Times New Roman" w:eastAsia="Times New Roman" w:hAnsi="Times New Roman" w:cs="Times New Roman"/>
                <w:color w:val="000000"/>
                <w:lang w:eastAsia="es-CL"/>
              </w:rPr>
            </w:pPr>
            <w:r w:rsidRPr="005D00A1">
              <w:rPr>
                <w:rFonts w:ascii="Times New Roman" w:eastAsia="Times New Roman" w:hAnsi="Times New Roman" w:cs="Times New Roman"/>
                <w:color w:val="000000"/>
                <w:lang w:eastAsia="es-CL"/>
              </w:rPr>
              <w:t>Al Alta</w:t>
            </w:r>
          </w:p>
        </w:tc>
      </w:tr>
      <w:tr w:rsidR="005D00A1" w:rsidRPr="005D00A1" w14:paraId="79DB509A" w14:textId="77777777" w:rsidTr="005D00A1">
        <w:trPr>
          <w:trHeight w:val="288"/>
        </w:trPr>
        <w:tc>
          <w:tcPr>
            <w:tcW w:w="2977" w:type="dxa"/>
            <w:gridSpan w:val="2"/>
            <w:tcBorders>
              <w:top w:val="single" w:sz="4" w:space="0" w:color="auto"/>
              <w:left w:val="nil"/>
              <w:bottom w:val="nil"/>
              <w:right w:val="nil"/>
            </w:tcBorders>
            <w:shd w:val="clear" w:color="auto" w:fill="auto"/>
            <w:noWrap/>
            <w:vAlign w:val="bottom"/>
            <w:hideMark/>
          </w:tcPr>
          <w:p w14:paraId="40586956" w14:textId="77777777" w:rsidR="005D00A1" w:rsidRPr="005D00A1" w:rsidRDefault="005D00A1" w:rsidP="005D00A1">
            <w:pPr>
              <w:spacing w:after="0" w:line="240" w:lineRule="auto"/>
              <w:rPr>
                <w:rFonts w:ascii="Times New Roman" w:eastAsia="Times New Roman" w:hAnsi="Times New Roman" w:cs="Times New Roman"/>
                <w:color w:val="000000"/>
                <w:lang w:eastAsia="es-CL"/>
              </w:rPr>
            </w:pPr>
            <w:r w:rsidRPr="005D00A1">
              <w:rPr>
                <w:rFonts w:ascii="Times New Roman" w:eastAsia="Times New Roman" w:hAnsi="Times New Roman" w:cs="Times New Roman"/>
                <w:color w:val="000000"/>
                <w:lang w:eastAsia="es-CL"/>
              </w:rPr>
              <w:t>% BDI sobre corte</w:t>
            </w:r>
          </w:p>
        </w:tc>
        <w:tc>
          <w:tcPr>
            <w:tcW w:w="1720" w:type="dxa"/>
            <w:tcBorders>
              <w:top w:val="nil"/>
              <w:left w:val="nil"/>
              <w:bottom w:val="nil"/>
              <w:right w:val="nil"/>
            </w:tcBorders>
            <w:shd w:val="clear" w:color="auto" w:fill="auto"/>
            <w:noWrap/>
            <w:vAlign w:val="bottom"/>
            <w:hideMark/>
          </w:tcPr>
          <w:p w14:paraId="1ACDDEC9" w14:textId="77777777" w:rsidR="005D00A1" w:rsidRPr="005D00A1" w:rsidRDefault="005D00A1" w:rsidP="005D00A1">
            <w:pPr>
              <w:spacing w:after="0" w:line="240" w:lineRule="auto"/>
              <w:jc w:val="center"/>
              <w:rPr>
                <w:rFonts w:ascii="Times New Roman" w:eastAsia="Times New Roman" w:hAnsi="Times New Roman" w:cs="Times New Roman"/>
                <w:color w:val="000000"/>
                <w:lang w:eastAsia="es-CL"/>
              </w:rPr>
            </w:pPr>
            <w:r w:rsidRPr="005D00A1">
              <w:rPr>
                <w:rFonts w:ascii="Times New Roman" w:eastAsia="Times New Roman" w:hAnsi="Times New Roman" w:cs="Times New Roman"/>
                <w:color w:val="000000"/>
                <w:lang w:eastAsia="es-CL"/>
              </w:rPr>
              <w:t>90</w:t>
            </w:r>
          </w:p>
        </w:tc>
        <w:tc>
          <w:tcPr>
            <w:tcW w:w="1486" w:type="dxa"/>
            <w:tcBorders>
              <w:top w:val="nil"/>
              <w:left w:val="nil"/>
              <w:bottom w:val="nil"/>
              <w:right w:val="nil"/>
            </w:tcBorders>
            <w:shd w:val="clear" w:color="auto" w:fill="auto"/>
            <w:noWrap/>
            <w:vAlign w:val="bottom"/>
            <w:hideMark/>
          </w:tcPr>
          <w:p w14:paraId="66E896FD" w14:textId="77777777" w:rsidR="005D00A1" w:rsidRPr="005D00A1" w:rsidRDefault="005D00A1" w:rsidP="005D00A1">
            <w:pPr>
              <w:spacing w:after="0" w:line="240" w:lineRule="auto"/>
              <w:jc w:val="center"/>
              <w:rPr>
                <w:rFonts w:ascii="Times New Roman" w:eastAsia="Times New Roman" w:hAnsi="Times New Roman" w:cs="Times New Roman"/>
                <w:color w:val="000000"/>
                <w:lang w:eastAsia="es-CL"/>
              </w:rPr>
            </w:pPr>
            <w:r w:rsidRPr="005D00A1">
              <w:rPr>
                <w:rFonts w:ascii="Times New Roman" w:eastAsia="Times New Roman" w:hAnsi="Times New Roman" w:cs="Times New Roman"/>
                <w:color w:val="000000"/>
                <w:lang w:eastAsia="es-CL"/>
              </w:rPr>
              <w:t>84,6</w:t>
            </w:r>
          </w:p>
        </w:tc>
        <w:tc>
          <w:tcPr>
            <w:tcW w:w="1860" w:type="dxa"/>
            <w:tcBorders>
              <w:top w:val="nil"/>
              <w:left w:val="nil"/>
              <w:bottom w:val="nil"/>
              <w:right w:val="nil"/>
            </w:tcBorders>
            <w:shd w:val="clear" w:color="auto" w:fill="auto"/>
            <w:noWrap/>
            <w:vAlign w:val="bottom"/>
            <w:hideMark/>
          </w:tcPr>
          <w:p w14:paraId="03F55D2D" w14:textId="77777777" w:rsidR="005D00A1" w:rsidRPr="005D00A1" w:rsidRDefault="005D00A1" w:rsidP="005D00A1">
            <w:pPr>
              <w:spacing w:after="0" w:line="240" w:lineRule="auto"/>
              <w:jc w:val="center"/>
              <w:rPr>
                <w:rFonts w:ascii="Times New Roman" w:eastAsia="Times New Roman" w:hAnsi="Times New Roman" w:cs="Times New Roman"/>
                <w:color w:val="000000"/>
                <w:lang w:eastAsia="es-CL"/>
              </w:rPr>
            </w:pPr>
            <w:r w:rsidRPr="005D00A1">
              <w:rPr>
                <w:rFonts w:ascii="Times New Roman" w:eastAsia="Times New Roman" w:hAnsi="Times New Roman" w:cs="Times New Roman"/>
                <w:color w:val="000000"/>
                <w:lang w:eastAsia="es-CL"/>
              </w:rPr>
              <w:t>74,1</w:t>
            </w:r>
          </w:p>
        </w:tc>
        <w:tc>
          <w:tcPr>
            <w:tcW w:w="1340" w:type="dxa"/>
            <w:tcBorders>
              <w:top w:val="nil"/>
              <w:left w:val="nil"/>
              <w:bottom w:val="nil"/>
              <w:right w:val="nil"/>
            </w:tcBorders>
            <w:shd w:val="clear" w:color="auto" w:fill="auto"/>
            <w:noWrap/>
            <w:vAlign w:val="bottom"/>
            <w:hideMark/>
          </w:tcPr>
          <w:p w14:paraId="77044516" w14:textId="77777777" w:rsidR="005D00A1" w:rsidRPr="005D00A1" w:rsidRDefault="005D00A1" w:rsidP="005D00A1">
            <w:pPr>
              <w:spacing w:after="0" w:line="240" w:lineRule="auto"/>
              <w:jc w:val="center"/>
              <w:rPr>
                <w:rFonts w:ascii="Times New Roman" w:eastAsia="Times New Roman" w:hAnsi="Times New Roman" w:cs="Times New Roman"/>
                <w:color w:val="000000"/>
                <w:lang w:eastAsia="es-CL"/>
              </w:rPr>
            </w:pPr>
            <w:r w:rsidRPr="005D00A1">
              <w:rPr>
                <w:rFonts w:ascii="Times New Roman" w:eastAsia="Times New Roman" w:hAnsi="Times New Roman" w:cs="Times New Roman"/>
                <w:color w:val="000000"/>
                <w:lang w:eastAsia="es-CL"/>
              </w:rPr>
              <w:t>60</w:t>
            </w:r>
          </w:p>
        </w:tc>
      </w:tr>
      <w:tr w:rsidR="005D00A1" w:rsidRPr="005D00A1" w14:paraId="2D839FDB" w14:textId="77777777" w:rsidTr="005D00A1">
        <w:trPr>
          <w:trHeight w:val="288"/>
        </w:trPr>
        <w:tc>
          <w:tcPr>
            <w:tcW w:w="1240" w:type="dxa"/>
            <w:tcBorders>
              <w:top w:val="nil"/>
              <w:left w:val="nil"/>
              <w:bottom w:val="nil"/>
              <w:right w:val="nil"/>
            </w:tcBorders>
            <w:shd w:val="clear" w:color="auto" w:fill="auto"/>
            <w:noWrap/>
            <w:vAlign w:val="bottom"/>
            <w:hideMark/>
          </w:tcPr>
          <w:p w14:paraId="6DB02EA3" w14:textId="77777777" w:rsidR="005D00A1" w:rsidRPr="005D00A1" w:rsidRDefault="005D00A1" w:rsidP="005D00A1">
            <w:pPr>
              <w:spacing w:after="0" w:line="240" w:lineRule="auto"/>
              <w:rPr>
                <w:rFonts w:ascii="Times New Roman" w:eastAsia="Times New Roman" w:hAnsi="Times New Roman" w:cs="Times New Roman"/>
                <w:color w:val="000000"/>
                <w:lang w:eastAsia="es-CL"/>
              </w:rPr>
            </w:pPr>
            <w:r w:rsidRPr="005D00A1">
              <w:rPr>
                <w:rFonts w:ascii="Times New Roman" w:eastAsia="Times New Roman" w:hAnsi="Times New Roman" w:cs="Times New Roman"/>
                <w:color w:val="000000"/>
                <w:lang w:eastAsia="es-CL"/>
              </w:rPr>
              <w:t>OQ</w:t>
            </w:r>
          </w:p>
        </w:tc>
        <w:tc>
          <w:tcPr>
            <w:tcW w:w="1737" w:type="dxa"/>
            <w:tcBorders>
              <w:top w:val="nil"/>
              <w:left w:val="nil"/>
              <w:bottom w:val="nil"/>
              <w:right w:val="nil"/>
            </w:tcBorders>
            <w:shd w:val="clear" w:color="auto" w:fill="auto"/>
            <w:noWrap/>
            <w:vAlign w:val="bottom"/>
            <w:hideMark/>
          </w:tcPr>
          <w:p w14:paraId="1AFA0573" w14:textId="77777777" w:rsidR="005D00A1" w:rsidRPr="005D00A1" w:rsidRDefault="005D00A1" w:rsidP="005D00A1">
            <w:pPr>
              <w:spacing w:after="0" w:line="240" w:lineRule="auto"/>
              <w:rPr>
                <w:rFonts w:ascii="Times New Roman" w:eastAsia="Times New Roman" w:hAnsi="Times New Roman" w:cs="Times New Roman"/>
                <w:color w:val="000000"/>
                <w:lang w:eastAsia="es-CL"/>
              </w:rPr>
            </w:pPr>
          </w:p>
        </w:tc>
        <w:tc>
          <w:tcPr>
            <w:tcW w:w="1720" w:type="dxa"/>
            <w:tcBorders>
              <w:top w:val="nil"/>
              <w:left w:val="nil"/>
              <w:bottom w:val="nil"/>
              <w:right w:val="nil"/>
            </w:tcBorders>
            <w:shd w:val="clear" w:color="auto" w:fill="auto"/>
            <w:noWrap/>
            <w:vAlign w:val="bottom"/>
            <w:hideMark/>
          </w:tcPr>
          <w:p w14:paraId="04AFC55A" w14:textId="77777777" w:rsidR="005D00A1" w:rsidRPr="005D00A1" w:rsidRDefault="005D00A1" w:rsidP="005D00A1">
            <w:pPr>
              <w:spacing w:after="0" w:line="240" w:lineRule="auto"/>
              <w:rPr>
                <w:rFonts w:ascii="Times New Roman" w:eastAsia="Times New Roman" w:hAnsi="Times New Roman" w:cs="Times New Roman"/>
                <w:sz w:val="20"/>
                <w:szCs w:val="20"/>
                <w:lang w:eastAsia="es-CL"/>
              </w:rPr>
            </w:pPr>
          </w:p>
        </w:tc>
        <w:tc>
          <w:tcPr>
            <w:tcW w:w="1486" w:type="dxa"/>
            <w:tcBorders>
              <w:top w:val="nil"/>
              <w:left w:val="nil"/>
              <w:bottom w:val="nil"/>
              <w:right w:val="nil"/>
            </w:tcBorders>
            <w:shd w:val="clear" w:color="auto" w:fill="auto"/>
            <w:noWrap/>
            <w:vAlign w:val="bottom"/>
            <w:hideMark/>
          </w:tcPr>
          <w:p w14:paraId="6632C67D" w14:textId="77777777" w:rsidR="005D00A1" w:rsidRPr="005D00A1" w:rsidRDefault="005D00A1" w:rsidP="005D00A1">
            <w:pPr>
              <w:spacing w:after="0" w:line="240" w:lineRule="auto"/>
              <w:jc w:val="center"/>
              <w:rPr>
                <w:rFonts w:ascii="Times New Roman" w:eastAsia="Times New Roman" w:hAnsi="Times New Roman" w:cs="Times New Roman"/>
                <w:sz w:val="20"/>
                <w:szCs w:val="20"/>
                <w:lang w:eastAsia="es-CL"/>
              </w:rPr>
            </w:pPr>
          </w:p>
        </w:tc>
        <w:tc>
          <w:tcPr>
            <w:tcW w:w="1860" w:type="dxa"/>
            <w:tcBorders>
              <w:top w:val="nil"/>
              <w:left w:val="nil"/>
              <w:bottom w:val="nil"/>
              <w:right w:val="nil"/>
            </w:tcBorders>
            <w:shd w:val="clear" w:color="auto" w:fill="auto"/>
            <w:noWrap/>
            <w:vAlign w:val="bottom"/>
            <w:hideMark/>
          </w:tcPr>
          <w:p w14:paraId="44F59D79" w14:textId="77777777" w:rsidR="005D00A1" w:rsidRPr="005D00A1" w:rsidRDefault="005D00A1" w:rsidP="005D00A1">
            <w:pPr>
              <w:spacing w:after="0" w:line="240" w:lineRule="auto"/>
              <w:jc w:val="center"/>
              <w:rPr>
                <w:rFonts w:ascii="Times New Roman" w:eastAsia="Times New Roman" w:hAnsi="Times New Roman" w:cs="Times New Roman"/>
                <w:sz w:val="20"/>
                <w:szCs w:val="20"/>
                <w:lang w:eastAsia="es-CL"/>
              </w:rPr>
            </w:pPr>
          </w:p>
        </w:tc>
        <w:tc>
          <w:tcPr>
            <w:tcW w:w="1340" w:type="dxa"/>
            <w:tcBorders>
              <w:top w:val="nil"/>
              <w:left w:val="nil"/>
              <w:bottom w:val="nil"/>
              <w:right w:val="nil"/>
            </w:tcBorders>
            <w:shd w:val="clear" w:color="auto" w:fill="auto"/>
            <w:noWrap/>
            <w:vAlign w:val="bottom"/>
            <w:hideMark/>
          </w:tcPr>
          <w:p w14:paraId="1DA712A9" w14:textId="77777777" w:rsidR="005D00A1" w:rsidRPr="005D00A1" w:rsidRDefault="005D00A1" w:rsidP="005D00A1">
            <w:pPr>
              <w:spacing w:after="0" w:line="240" w:lineRule="auto"/>
              <w:jc w:val="center"/>
              <w:rPr>
                <w:rFonts w:ascii="Times New Roman" w:eastAsia="Times New Roman" w:hAnsi="Times New Roman" w:cs="Times New Roman"/>
                <w:sz w:val="20"/>
                <w:szCs w:val="20"/>
                <w:lang w:eastAsia="es-CL"/>
              </w:rPr>
            </w:pPr>
          </w:p>
        </w:tc>
      </w:tr>
      <w:tr w:rsidR="005D00A1" w:rsidRPr="005D00A1" w14:paraId="68756335" w14:textId="77777777" w:rsidTr="005D00A1">
        <w:trPr>
          <w:trHeight w:val="288"/>
        </w:trPr>
        <w:tc>
          <w:tcPr>
            <w:tcW w:w="1240" w:type="dxa"/>
            <w:tcBorders>
              <w:top w:val="nil"/>
              <w:left w:val="nil"/>
              <w:bottom w:val="nil"/>
              <w:right w:val="nil"/>
            </w:tcBorders>
            <w:shd w:val="clear" w:color="auto" w:fill="auto"/>
            <w:noWrap/>
            <w:vAlign w:val="bottom"/>
            <w:hideMark/>
          </w:tcPr>
          <w:p w14:paraId="2D9872D2" w14:textId="77777777" w:rsidR="005D00A1" w:rsidRPr="005D00A1" w:rsidRDefault="005D00A1" w:rsidP="005D00A1">
            <w:pPr>
              <w:spacing w:after="0" w:line="240" w:lineRule="auto"/>
              <w:jc w:val="center"/>
              <w:rPr>
                <w:rFonts w:ascii="Times New Roman" w:eastAsia="Times New Roman" w:hAnsi="Times New Roman" w:cs="Times New Roman"/>
                <w:sz w:val="20"/>
                <w:szCs w:val="20"/>
                <w:lang w:eastAsia="es-CL"/>
              </w:rPr>
            </w:pPr>
          </w:p>
        </w:tc>
        <w:tc>
          <w:tcPr>
            <w:tcW w:w="1737" w:type="dxa"/>
            <w:tcBorders>
              <w:top w:val="nil"/>
              <w:left w:val="nil"/>
              <w:bottom w:val="nil"/>
              <w:right w:val="nil"/>
            </w:tcBorders>
            <w:shd w:val="clear" w:color="auto" w:fill="auto"/>
            <w:noWrap/>
            <w:vAlign w:val="bottom"/>
            <w:hideMark/>
          </w:tcPr>
          <w:p w14:paraId="4C79A919" w14:textId="77777777" w:rsidR="005D00A1" w:rsidRPr="005D00A1" w:rsidRDefault="005D00A1" w:rsidP="005D00A1">
            <w:pPr>
              <w:spacing w:after="0" w:line="240" w:lineRule="auto"/>
              <w:rPr>
                <w:rFonts w:ascii="Times New Roman" w:eastAsia="Times New Roman" w:hAnsi="Times New Roman" w:cs="Times New Roman"/>
                <w:color w:val="000000"/>
                <w:lang w:eastAsia="es-CL"/>
              </w:rPr>
            </w:pPr>
            <w:r w:rsidRPr="005D00A1">
              <w:rPr>
                <w:rFonts w:ascii="Times New Roman" w:eastAsia="Times New Roman" w:hAnsi="Times New Roman" w:cs="Times New Roman"/>
                <w:color w:val="000000"/>
                <w:lang w:eastAsia="es-CL"/>
              </w:rPr>
              <w:t>Total</w:t>
            </w:r>
          </w:p>
        </w:tc>
        <w:tc>
          <w:tcPr>
            <w:tcW w:w="1720" w:type="dxa"/>
            <w:tcBorders>
              <w:top w:val="nil"/>
              <w:left w:val="nil"/>
              <w:bottom w:val="nil"/>
              <w:right w:val="nil"/>
            </w:tcBorders>
            <w:shd w:val="clear" w:color="auto" w:fill="auto"/>
            <w:noWrap/>
            <w:vAlign w:val="bottom"/>
            <w:hideMark/>
          </w:tcPr>
          <w:p w14:paraId="7258F082" w14:textId="77777777" w:rsidR="005D00A1" w:rsidRPr="005D00A1" w:rsidRDefault="005D00A1" w:rsidP="005D00A1">
            <w:pPr>
              <w:spacing w:after="0" w:line="240" w:lineRule="auto"/>
              <w:jc w:val="center"/>
              <w:rPr>
                <w:rFonts w:ascii="Times New Roman" w:eastAsia="Times New Roman" w:hAnsi="Times New Roman" w:cs="Times New Roman"/>
                <w:color w:val="000000"/>
                <w:lang w:eastAsia="es-CL"/>
              </w:rPr>
            </w:pPr>
            <w:r w:rsidRPr="005D00A1">
              <w:rPr>
                <w:rFonts w:ascii="Times New Roman" w:eastAsia="Times New Roman" w:hAnsi="Times New Roman" w:cs="Times New Roman"/>
                <w:color w:val="000000"/>
                <w:lang w:eastAsia="es-CL"/>
              </w:rPr>
              <w:t>96,75 (27,14)</w:t>
            </w:r>
          </w:p>
        </w:tc>
        <w:tc>
          <w:tcPr>
            <w:tcW w:w="1486" w:type="dxa"/>
            <w:tcBorders>
              <w:top w:val="nil"/>
              <w:left w:val="nil"/>
              <w:bottom w:val="nil"/>
              <w:right w:val="nil"/>
            </w:tcBorders>
            <w:shd w:val="clear" w:color="auto" w:fill="auto"/>
            <w:noWrap/>
            <w:vAlign w:val="bottom"/>
            <w:hideMark/>
          </w:tcPr>
          <w:p w14:paraId="590F8F8E" w14:textId="77777777" w:rsidR="005D00A1" w:rsidRPr="005D00A1" w:rsidRDefault="005D00A1" w:rsidP="005D00A1">
            <w:pPr>
              <w:spacing w:after="0" w:line="240" w:lineRule="auto"/>
              <w:jc w:val="center"/>
              <w:rPr>
                <w:rFonts w:ascii="Times New Roman" w:eastAsia="Times New Roman" w:hAnsi="Times New Roman" w:cs="Times New Roman"/>
                <w:color w:val="000000"/>
                <w:lang w:eastAsia="es-CL"/>
              </w:rPr>
            </w:pPr>
            <w:r w:rsidRPr="005D00A1">
              <w:rPr>
                <w:rFonts w:ascii="Times New Roman" w:eastAsia="Times New Roman" w:hAnsi="Times New Roman" w:cs="Times New Roman"/>
                <w:color w:val="000000"/>
                <w:lang w:eastAsia="es-CL"/>
              </w:rPr>
              <w:t>92,49 (22,00)</w:t>
            </w:r>
          </w:p>
        </w:tc>
        <w:tc>
          <w:tcPr>
            <w:tcW w:w="1860" w:type="dxa"/>
            <w:tcBorders>
              <w:top w:val="nil"/>
              <w:left w:val="nil"/>
              <w:bottom w:val="nil"/>
              <w:right w:val="nil"/>
            </w:tcBorders>
            <w:shd w:val="clear" w:color="auto" w:fill="auto"/>
            <w:noWrap/>
            <w:vAlign w:val="bottom"/>
            <w:hideMark/>
          </w:tcPr>
          <w:p w14:paraId="45031CD1" w14:textId="77777777" w:rsidR="005D00A1" w:rsidRPr="005D00A1" w:rsidRDefault="005D00A1" w:rsidP="005D00A1">
            <w:pPr>
              <w:spacing w:after="0" w:line="240" w:lineRule="auto"/>
              <w:jc w:val="center"/>
              <w:rPr>
                <w:rFonts w:ascii="Times New Roman" w:eastAsia="Times New Roman" w:hAnsi="Times New Roman" w:cs="Times New Roman"/>
                <w:color w:val="000000"/>
                <w:lang w:eastAsia="es-CL"/>
              </w:rPr>
            </w:pPr>
            <w:r w:rsidRPr="005D00A1">
              <w:rPr>
                <w:rFonts w:ascii="Times New Roman" w:eastAsia="Times New Roman" w:hAnsi="Times New Roman" w:cs="Times New Roman"/>
                <w:color w:val="000000"/>
                <w:lang w:eastAsia="es-CL"/>
              </w:rPr>
              <w:t>83,63 (26,65)</w:t>
            </w:r>
          </w:p>
        </w:tc>
        <w:tc>
          <w:tcPr>
            <w:tcW w:w="1340" w:type="dxa"/>
            <w:tcBorders>
              <w:top w:val="nil"/>
              <w:left w:val="nil"/>
              <w:bottom w:val="nil"/>
              <w:right w:val="nil"/>
            </w:tcBorders>
            <w:shd w:val="clear" w:color="auto" w:fill="auto"/>
            <w:noWrap/>
            <w:vAlign w:val="bottom"/>
            <w:hideMark/>
          </w:tcPr>
          <w:p w14:paraId="23755CC9" w14:textId="77777777" w:rsidR="005D00A1" w:rsidRPr="005D00A1" w:rsidRDefault="005D00A1" w:rsidP="005D00A1">
            <w:pPr>
              <w:spacing w:after="0" w:line="240" w:lineRule="auto"/>
              <w:jc w:val="center"/>
              <w:rPr>
                <w:rFonts w:ascii="Times New Roman" w:eastAsia="Times New Roman" w:hAnsi="Times New Roman" w:cs="Times New Roman"/>
                <w:color w:val="000000"/>
                <w:lang w:eastAsia="es-CL"/>
              </w:rPr>
            </w:pPr>
            <w:r w:rsidRPr="005D00A1">
              <w:rPr>
                <w:rFonts w:ascii="Times New Roman" w:eastAsia="Times New Roman" w:hAnsi="Times New Roman" w:cs="Times New Roman"/>
                <w:color w:val="000000"/>
                <w:lang w:eastAsia="es-CL"/>
              </w:rPr>
              <w:t>59,36 (24,00)</w:t>
            </w:r>
          </w:p>
        </w:tc>
      </w:tr>
      <w:tr w:rsidR="005D00A1" w:rsidRPr="005D00A1" w14:paraId="62F95283" w14:textId="77777777" w:rsidTr="005D00A1">
        <w:trPr>
          <w:trHeight w:val="288"/>
        </w:trPr>
        <w:tc>
          <w:tcPr>
            <w:tcW w:w="1240" w:type="dxa"/>
            <w:tcBorders>
              <w:top w:val="nil"/>
              <w:left w:val="nil"/>
              <w:bottom w:val="nil"/>
              <w:right w:val="nil"/>
            </w:tcBorders>
            <w:shd w:val="clear" w:color="auto" w:fill="auto"/>
            <w:noWrap/>
            <w:vAlign w:val="bottom"/>
            <w:hideMark/>
          </w:tcPr>
          <w:p w14:paraId="7A6BE070" w14:textId="77777777" w:rsidR="005D00A1" w:rsidRPr="005D00A1" w:rsidRDefault="005D00A1" w:rsidP="005D00A1">
            <w:pPr>
              <w:spacing w:after="0" w:line="240" w:lineRule="auto"/>
              <w:jc w:val="center"/>
              <w:rPr>
                <w:rFonts w:ascii="Times New Roman" w:eastAsia="Times New Roman" w:hAnsi="Times New Roman" w:cs="Times New Roman"/>
                <w:color w:val="000000"/>
                <w:lang w:eastAsia="es-CL"/>
              </w:rPr>
            </w:pPr>
          </w:p>
        </w:tc>
        <w:tc>
          <w:tcPr>
            <w:tcW w:w="1737" w:type="dxa"/>
            <w:tcBorders>
              <w:top w:val="nil"/>
              <w:left w:val="nil"/>
              <w:bottom w:val="nil"/>
              <w:right w:val="nil"/>
            </w:tcBorders>
            <w:shd w:val="clear" w:color="auto" w:fill="auto"/>
            <w:noWrap/>
            <w:vAlign w:val="bottom"/>
            <w:hideMark/>
          </w:tcPr>
          <w:p w14:paraId="178E1004" w14:textId="77777777" w:rsidR="005D00A1" w:rsidRPr="005D00A1" w:rsidRDefault="005D00A1" w:rsidP="005D00A1">
            <w:pPr>
              <w:spacing w:after="0" w:line="240" w:lineRule="auto"/>
              <w:rPr>
                <w:rFonts w:ascii="Times New Roman" w:eastAsia="Times New Roman" w:hAnsi="Times New Roman" w:cs="Times New Roman"/>
                <w:color w:val="000000"/>
                <w:lang w:eastAsia="es-CL"/>
              </w:rPr>
            </w:pPr>
            <w:r w:rsidRPr="005D00A1">
              <w:rPr>
                <w:rFonts w:ascii="Times New Roman" w:eastAsia="Times New Roman" w:hAnsi="Times New Roman" w:cs="Times New Roman"/>
                <w:color w:val="000000"/>
                <w:lang w:eastAsia="es-CL"/>
              </w:rPr>
              <w:t>Relaciones Interpersonales</w:t>
            </w:r>
          </w:p>
        </w:tc>
        <w:tc>
          <w:tcPr>
            <w:tcW w:w="1720" w:type="dxa"/>
            <w:tcBorders>
              <w:top w:val="nil"/>
              <w:left w:val="nil"/>
              <w:bottom w:val="nil"/>
              <w:right w:val="nil"/>
            </w:tcBorders>
            <w:shd w:val="clear" w:color="auto" w:fill="auto"/>
            <w:noWrap/>
            <w:vAlign w:val="bottom"/>
            <w:hideMark/>
          </w:tcPr>
          <w:p w14:paraId="40092F83" w14:textId="77777777" w:rsidR="005D00A1" w:rsidRPr="005D00A1" w:rsidRDefault="005D00A1" w:rsidP="005D00A1">
            <w:pPr>
              <w:spacing w:after="0" w:line="240" w:lineRule="auto"/>
              <w:jc w:val="center"/>
              <w:rPr>
                <w:rFonts w:ascii="Times New Roman" w:eastAsia="Times New Roman" w:hAnsi="Times New Roman" w:cs="Times New Roman"/>
                <w:color w:val="000000"/>
                <w:lang w:eastAsia="es-CL"/>
              </w:rPr>
            </w:pPr>
            <w:r w:rsidRPr="005D00A1">
              <w:rPr>
                <w:rFonts w:ascii="Times New Roman" w:eastAsia="Times New Roman" w:hAnsi="Times New Roman" w:cs="Times New Roman"/>
                <w:color w:val="000000"/>
                <w:lang w:eastAsia="es-CL"/>
              </w:rPr>
              <w:t>19,55 (6,93)</w:t>
            </w:r>
          </w:p>
        </w:tc>
        <w:tc>
          <w:tcPr>
            <w:tcW w:w="1486" w:type="dxa"/>
            <w:tcBorders>
              <w:top w:val="nil"/>
              <w:left w:val="nil"/>
              <w:bottom w:val="nil"/>
              <w:right w:val="nil"/>
            </w:tcBorders>
            <w:shd w:val="clear" w:color="auto" w:fill="auto"/>
            <w:noWrap/>
            <w:vAlign w:val="bottom"/>
            <w:hideMark/>
          </w:tcPr>
          <w:p w14:paraId="3B708810" w14:textId="77777777" w:rsidR="005D00A1" w:rsidRPr="005D00A1" w:rsidRDefault="005D00A1" w:rsidP="005D00A1">
            <w:pPr>
              <w:spacing w:after="0" w:line="240" w:lineRule="auto"/>
              <w:jc w:val="center"/>
              <w:rPr>
                <w:rFonts w:ascii="Times New Roman" w:eastAsia="Times New Roman" w:hAnsi="Times New Roman" w:cs="Times New Roman"/>
                <w:color w:val="000000"/>
                <w:lang w:eastAsia="es-CL"/>
              </w:rPr>
            </w:pPr>
            <w:r w:rsidRPr="005D00A1">
              <w:rPr>
                <w:rFonts w:ascii="Times New Roman" w:eastAsia="Times New Roman" w:hAnsi="Times New Roman" w:cs="Times New Roman"/>
                <w:color w:val="000000"/>
                <w:lang w:eastAsia="es-CL"/>
              </w:rPr>
              <w:t>19,49 (6,63)</w:t>
            </w:r>
          </w:p>
        </w:tc>
        <w:tc>
          <w:tcPr>
            <w:tcW w:w="1860" w:type="dxa"/>
            <w:tcBorders>
              <w:top w:val="nil"/>
              <w:left w:val="nil"/>
              <w:bottom w:val="nil"/>
              <w:right w:val="nil"/>
            </w:tcBorders>
            <w:shd w:val="clear" w:color="auto" w:fill="auto"/>
            <w:noWrap/>
            <w:vAlign w:val="bottom"/>
            <w:hideMark/>
          </w:tcPr>
          <w:p w14:paraId="67208EA0" w14:textId="77777777" w:rsidR="005D00A1" w:rsidRPr="005D00A1" w:rsidRDefault="005D00A1" w:rsidP="005D00A1">
            <w:pPr>
              <w:spacing w:after="0" w:line="240" w:lineRule="auto"/>
              <w:jc w:val="center"/>
              <w:rPr>
                <w:rFonts w:ascii="Times New Roman" w:eastAsia="Times New Roman" w:hAnsi="Times New Roman" w:cs="Times New Roman"/>
                <w:color w:val="000000"/>
                <w:lang w:eastAsia="es-CL"/>
              </w:rPr>
            </w:pPr>
            <w:r w:rsidRPr="005D00A1">
              <w:rPr>
                <w:rFonts w:ascii="Times New Roman" w:eastAsia="Times New Roman" w:hAnsi="Times New Roman" w:cs="Times New Roman"/>
                <w:color w:val="000000"/>
                <w:lang w:eastAsia="es-CL"/>
              </w:rPr>
              <w:t>19,13 (5,98)</w:t>
            </w:r>
          </w:p>
        </w:tc>
        <w:tc>
          <w:tcPr>
            <w:tcW w:w="1340" w:type="dxa"/>
            <w:tcBorders>
              <w:top w:val="nil"/>
              <w:left w:val="nil"/>
              <w:bottom w:val="nil"/>
              <w:right w:val="nil"/>
            </w:tcBorders>
            <w:shd w:val="clear" w:color="auto" w:fill="auto"/>
            <w:noWrap/>
            <w:vAlign w:val="bottom"/>
            <w:hideMark/>
          </w:tcPr>
          <w:p w14:paraId="670C6E88" w14:textId="77777777" w:rsidR="005D00A1" w:rsidRPr="005D00A1" w:rsidRDefault="005D00A1" w:rsidP="005D00A1">
            <w:pPr>
              <w:spacing w:after="0" w:line="240" w:lineRule="auto"/>
              <w:jc w:val="center"/>
              <w:rPr>
                <w:rFonts w:ascii="Times New Roman" w:eastAsia="Times New Roman" w:hAnsi="Times New Roman" w:cs="Times New Roman"/>
                <w:color w:val="000000"/>
                <w:lang w:eastAsia="es-CL"/>
              </w:rPr>
            </w:pPr>
            <w:r w:rsidRPr="005D00A1">
              <w:rPr>
                <w:rFonts w:ascii="Times New Roman" w:eastAsia="Times New Roman" w:hAnsi="Times New Roman" w:cs="Times New Roman"/>
                <w:color w:val="000000"/>
                <w:lang w:eastAsia="es-CL"/>
              </w:rPr>
              <w:t>16,14 (5,39)</w:t>
            </w:r>
          </w:p>
        </w:tc>
      </w:tr>
      <w:tr w:rsidR="005D00A1" w:rsidRPr="005D00A1" w14:paraId="4443926F" w14:textId="77777777" w:rsidTr="005D00A1">
        <w:trPr>
          <w:trHeight w:val="288"/>
        </w:trPr>
        <w:tc>
          <w:tcPr>
            <w:tcW w:w="1240" w:type="dxa"/>
            <w:tcBorders>
              <w:top w:val="nil"/>
              <w:left w:val="nil"/>
              <w:bottom w:val="nil"/>
              <w:right w:val="nil"/>
            </w:tcBorders>
            <w:shd w:val="clear" w:color="auto" w:fill="auto"/>
            <w:noWrap/>
            <w:vAlign w:val="bottom"/>
            <w:hideMark/>
          </w:tcPr>
          <w:p w14:paraId="11DF5624" w14:textId="77777777" w:rsidR="005D00A1" w:rsidRPr="005D00A1" w:rsidRDefault="005D00A1" w:rsidP="005D00A1">
            <w:pPr>
              <w:spacing w:after="0" w:line="240" w:lineRule="auto"/>
              <w:jc w:val="center"/>
              <w:rPr>
                <w:rFonts w:ascii="Times New Roman" w:eastAsia="Times New Roman" w:hAnsi="Times New Roman" w:cs="Times New Roman"/>
                <w:color w:val="000000"/>
                <w:lang w:eastAsia="es-CL"/>
              </w:rPr>
            </w:pPr>
          </w:p>
        </w:tc>
        <w:tc>
          <w:tcPr>
            <w:tcW w:w="1737" w:type="dxa"/>
            <w:tcBorders>
              <w:top w:val="nil"/>
              <w:left w:val="nil"/>
              <w:bottom w:val="nil"/>
              <w:right w:val="nil"/>
            </w:tcBorders>
            <w:shd w:val="clear" w:color="auto" w:fill="auto"/>
            <w:noWrap/>
            <w:vAlign w:val="bottom"/>
            <w:hideMark/>
          </w:tcPr>
          <w:p w14:paraId="3FF861CB" w14:textId="77777777" w:rsidR="005D00A1" w:rsidRPr="005D00A1" w:rsidRDefault="005D00A1" w:rsidP="005D00A1">
            <w:pPr>
              <w:spacing w:after="0" w:line="240" w:lineRule="auto"/>
              <w:rPr>
                <w:rFonts w:ascii="Times New Roman" w:eastAsia="Times New Roman" w:hAnsi="Times New Roman" w:cs="Times New Roman"/>
                <w:color w:val="000000"/>
                <w:lang w:eastAsia="es-CL"/>
              </w:rPr>
            </w:pPr>
            <w:r w:rsidRPr="005D00A1">
              <w:rPr>
                <w:rFonts w:ascii="Times New Roman" w:eastAsia="Times New Roman" w:hAnsi="Times New Roman" w:cs="Times New Roman"/>
                <w:color w:val="000000"/>
                <w:lang w:eastAsia="es-CL"/>
              </w:rPr>
              <w:t>Rol Social</w:t>
            </w:r>
          </w:p>
        </w:tc>
        <w:tc>
          <w:tcPr>
            <w:tcW w:w="1720" w:type="dxa"/>
            <w:tcBorders>
              <w:top w:val="nil"/>
              <w:left w:val="nil"/>
              <w:bottom w:val="nil"/>
              <w:right w:val="nil"/>
            </w:tcBorders>
            <w:shd w:val="clear" w:color="auto" w:fill="auto"/>
            <w:noWrap/>
            <w:vAlign w:val="bottom"/>
            <w:hideMark/>
          </w:tcPr>
          <w:p w14:paraId="36CC83DC" w14:textId="77777777" w:rsidR="005D00A1" w:rsidRPr="005D00A1" w:rsidRDefault="005D00A1" w:rsidP="005D00A1">
            <w:pPr>
              <w:spacing w:after="0" w:line="240" w:lineRule="auto"/>
              <w:jc w:val="center"/>
              <w:rPr>
                <w:rFonts w:ascii="Times New Roman" w:eastAsia="Times New Roman" w:hAnsi="Times New Roman" w:cs="Times New Roman"/>
                <w:color w:val="000000"/>
                <w:lang w:eastAsia="es-CL"/>
              </w:rPr>
            </w:pPr>
            <w:r w:rsidRPr="005D00A1">
              <w:rPr>
                <w:rFonts w:ascii="Times New Roman" w:eastAsia="Times New Roman" w:hAnsi="Times New Roman" w:cs="Times New Roman"/>
                <w:color w:val="000000"/>
                <w:lang w:eastAsia="es-CL"/>
              </w:rPr>
              <w:t>14,72 (6,08)</w:t>
            </w:r>
          </w:p>
        </w:tc>
        <w:tc>
          <w:tcPr>
            <w:tcW w:w="1486" w:type="dxa"/>
            <w:tcBorders>
              <w:top w:val="nil"/>
              <w:left w:val="nil"/>
              <w:bottom w:val="nil"/>
              <w:right w:val="nil"/>
            </w:tcBorders>
            <w:shd w:val="clear" w:color="auto" w:fill="auto"/>
            <w:noWrap/>
            <w:vAlign w:val="bottom"/>
            <w:hideMark/>
          </w:tcPr>
          <w:p w14:paraId="5EEB63F7" w14:textId="77777777" w:rsidR="005D00A1" w:rsidRPr="005D00A1" w:rsidRDefault="005D00A1" w:rsidP="005D00A1">
            <w:pPr>
              <w:spacing w:after="0" w:line="240" w:lineRule="auto"/>
              <w:jc w:val="center"/>
              <w:rPr>
                <w:rFonts w:ascii="Times New Roman" w:eastAsia="Times New Roman" w:hAnsi="Times New Roman" w:cs="Times New Roman"/>
                <w:color w:val="000000"/>
                <w:lang w:eastAsia="es-CL"/>
              </w:rPr>
            </w:pPr>
            <w:r w:rsidRPr="005D00A1">
              <w:rPr>
                <w:rFonts w:ascii="Times New Roman" w:eastAsia="Times New Roman" w:hAnsi="Times New Roman" w:cs="Times New Roman"/>
                <w:color w:val="000000"/>
                <w:lang w:eastAsia="es-CL"/>
              </w:rPr>
              <w:t>15,64 (6,40)</w:t>
            </w:r>
          </w:p>
        </w:tc>
        <w:tc>
          <w:tcPr>
            <w:tcW w:w="1860" w:type="dxa"/>
            <w:tcBorders>
              <w:top w:val="nil"/>
              <w:left w:val="nil"/>
              <w:bottom w:val="nil"/>
              <w:right w:val="nil"/>
            </w:tcBorders>
            <w:shd w:val="clear" w:color="auto" w:fill="auto"/>
            <w:noWrap/>
            <w:vAlign w:val="bottom"/>
            <w:hideMark/>
          </w:tcPr>
          <w:p w14:paraId="0766DACB" w14:textId="77777777" w:rsidR="005D00A1" w:rsidRPr="005D00A1" w:rsidRDefault="005D00A1" w:rsidP="005D00A1">
            <w:pPr>
              <w:spacing w:after="0" w:line="240" w:lineRule="auto"/>
              <w:jc w:val="center"/>
              <w:rPr>
                <w:rFonts w:ascii="Times New Roman" w:eastAsia="Times New Roman" w:hAnsi="Times New Roman" w:cs="Times New Roman"/>
                <w:color w:val="000000"/>
                <w:lang w:eastAsia="es-CL"/>
              </w:rPr>
            </w:pPr>
            <w:r w:rsidRPr="005D00A1">
              <w:rPr>
                <w:rFonts w:ascii="Times New Roman" w:eastAsia="Times New Roman" w:hAnsi="Times New Roman" w:cs="Times New Roman"/>
                <w:color w:val="000000"/>
                <w:lang w:eastAsia="es-CL"/>
              </w:rPr>
              <w:t>14,18 (5,66)</w:t>
            </w:r>
          </w:p>
        </w:tc>
        <w:tc>
          <w:tcPr>
            <w:tcW w:w="1340" w:type="dxa"/>
            <w:tcBorders>
              <w:top w:val="nil"/>
              <w:left w:val="nil"/>
              <w:bottom w:val="nil"/>
              <w:right w:val="nil"/>
            </w:tcBorders>
            <w:shd w:val="clear" w:color="auto" w:fill="auto"/>
            <w:noWrap/>
            <w:vAlign w:val="bottom"/>
            <w:hideMark/>
          </w:tcPr>
          <w:p w14:paraId="0FE44BFB" w14:textId="77777777" w:rsidR="005D00A1" w:rsidRPr="005D00A1" w:rsidRDefault="005D00A1" w:rsidP="005D00A1">
            <w:pPr>
              <w:spacing w:after="0" w:line="240" w:lineRule="auto"/>
              <w:jc w:val="center"/>
              <w:rPr>
                <w:rFonts w:ascii="Times New Roman" w:eastAsia="Times New Roman" w:hAnsi="Times New Roman" w:cs="Times New Roman"/>
                <w:color w:val="000000"/>
                <w:lang w:eastAsia="es-CL"/>
              </w:rPr>
            </w:pPr>
            <w:r w:rsidRPr="005D00A1">
              <w:rPr>
                <w:rFonts w:ascii="Times New Roman" w:eastAsia="Times New Roman" w:hAnsi="Times New Roman" w:cs="Times New Roman"/>
                <w:color w:val="000000"/>
                <w:lang w:eastAsia="es-CL"/>
              </w:rPr>
              <w:t>11,27 (5,16)</w:t>
            </w:r>
          </w:p>
        </w:tc>
      </w:tr>
      <w:tr w:rsidR="005D00A1" w:rsidRPr="005D00A1" w14:paraId="18D5CA2A" w14:textId="77777777" w:rsidTr="005D00A1">
        <w:trPr>
          <w:trHeight w:val="288"/>
        </w:trPr>
        <w:tc>
          <w:tcPr>
            <w:tcW w:w="1240" w:type="dxa"/>
            <w:tcBorders>
              <w:top w:val="nil"/>
              <w:left w:val="nil"/>
              <w:bottom w:val="single" w:sz="4" w:space="0" w:color="auto"/>
              <w:right w:val="nil"/>
            </w:tcBorders>
            <w:shd w:val="clear" w:color="auto" w:fill="auto"/>
            <w:noWrap/>
            <w:vAlign w:val="bottom"/>
            <w:hideMark/>
          </w:tcPr>
          <w:p w14:paraId="6F557347" w14:textId="77777777" w:rsidR="005D00A1" w:rsidRPr="005D00A1" w:rsidRDefault="005D00A1" w:rsidP="005D00A1">
            <w:pPr>
              <w:spacing w:after="0" w:line="240" w:lineRule="auto"/>
              <w:rPr>
                <w:rFonts w:ascii="Times New Roman" w:eastAsia="Times New Roman" w:hAnsi="Times New Roman" w:cs="Times New Roman"/>
                <w:color w:val="000000"/>
                <w:lang w:eastAsia="es-CL"/>
              </w:rPr>
            </w:pPr>
            <w:r w:rsidRPr="005D00A1">
              <w:rPr>
                <w:rFonts w:ascii="Times New Roman" w:eastAsia="Times New Roman" w:hAnsi="Times New Roman" w:cs="Times New Roman"/>
                <w:color w:val="000000"/>
                <w:lang w:eastAsia="es-CL"/>
              </w:rPr>
              <w:t> </w:t>
            </w:r>
          </w:p>
        </w:tc>
        <w:tc>
          <w:tcPr>
            <w:tcW w:w="1737" w:type="dxa"/>
            <w:tcBorders>
              <w:top w:val="nil"/>
              <w:left w:val="nil"/>
              <w:bottom w:val="single" w:sz="4" w:space="0" w:color="auto"/>
              <w:right w:val="nil"/>
            </w:tcBorders>
            <w:shd w:val="clear" w:color="auto" w:fill="auto"/>
            <w:noWrap/>
            <w:vAlign w:val="bottom"/>
            <w:hideMark/>
          </w:tcPr>
          <w:p w14:paraId="3C346B85" w14:textId="77777777" w:rsidR="005D00A1" w:rsidRPr="005D00A1" w:rsidRDefault="005D00A1" w:rsidP="005D00A1">
            <w:pPr>
              <w:spacing w:after="0" w:line="240" w:lineRule="auto"/>
              <w:rPr>
                <w:rFonts w:ascii="Times New Roman" w:eastAsia="Times New Roman" w:hAnsi="Times New Roman" w:cs="Times New Roman"/>
                <w:color w:val="000000"/>
                <w:lang w:eastAsia="es-CL"/>
              </w:rPr>
            </w:pPr>
            <w:r w:rsidRPr="005D00A1">
              <w:rPr>
                <w:rFonts w:ascii="Times New Roman" w:eastAsia="Times New Roman" w:hAnsi="Times New Roman" w:cs="Times New Roman"/>
                <w:color w:val="000000"/>
                <w:lang w:eastAsia="es-CL"/>
              </w:rPr>
              <w:t>Síntomas</w:t>
            </w:r>
          </w:p>
        </w:tc>
        <w:tc>
          <w:tcPr>
            <w:tcW w:w="1720" w:type="dxa"/>
            <w:tcBorders>
              <w:top w:val="nil"/>
              <w:left w:val="nil"/>
              <w:bottom w:val="single" w:sz="4" w:space="0" w:color="auto"/>
              <w:right w:val="nil"/>
            </w:tcBorders>
            <w:shd w:val="clear" w:color="auto" w:fill="auto"/>
            <w:noWrap/>
            <w:vAlign w:val="bottom"/>
            <w:hideMark/>
          </w:tcPr>
          <w:p w14:paraId="420DA98E" w14:textId="77777777" w:rsidR="005D00A1" w:rsidRPr="005D00A1" w:rsidRDefault="005D00A1" w:rsidP="005D00A1">
            <w:pPr>
              <w:spacing w:after="0" w:line="240" w:lineRule="auto"/>
              <w:jc w:val="center"/>
              <w:rPr>
                <w:rFonts w:ascii="Times New Roman" w:eastAsia="Times New Roman" w:hAnsi="Times New Roman" w:cs="Times New Roman"/>
                <w:color w:val="000000"/>
                <w:lang w:eastAsia="es-CL"/>
              </w:rPr>
            </w:pPr>
            <w:r w:rsidRPr="005D00A1">
              <w:rPr>
                <w:rFonts w:ascii="Times New Roman" w:eastAsia="Times New Roman" w:hAnsi="Times New Roman" w:cs="Times New Roman"/>
                <w:color w:val="000000"/>
                <w:lang w:eastAsia="es-CL"/>
              </w:rPr>
              <w:t>62,47 (17,78)</w:t>
            </w:r>
          </w:p>
        </w:tc>
        <w:tc>
          <w:tcPr>
            <w:tcW w:w="1486" w:type="dxa"/>
            <w:tcBorders>
              <w:top w:val="nil"/>
              <w:left w:val="nil"/>
              <w:bottom w:val="single" w:sz="4" w:space="0" w:color="auto"/>
              <w:right w:val="nil"/>
            </w:tcBorders>
            <w:shd w:val="clear" w:color="auto" w:fill="auto"/>
            <w:noWrap/>
            <w:vAlign w:val="bottom"/>
            <w:hideMark/>
          </w:tcPr>
          <w:p w14:paraId="212E7711" w14:textId="77777777" w:rsidR="005D00A1" w:rsidRPr="005D00A1" w:rsidRDefault="005D00A1" w:rsidP="005D00A1">
            <w:pPr>
              <w:spacing w:after="0" w:line="240" w:lineRule="auto"/>
              <w:jc w:val="center"/>
              <w:rPr>
                <w:rFonts w:ascii="Times New Roman" w:eastAsia="Times New Roman" w:hAnsi="Times New Roman" w:cs="Times New Roman"/>
                <w:color w:val="000000"/>
                <w:lang w:eastAsia="es-CL"/>
              </w:rPr>
            </w:pPr>
            <w:r w:rsidRPr="005D00A1">
              <w:rPr>
                <w:rFonts w:ascii="Times New Roman" w:eastAsia="Times New Roman" w:hAnsi="Times New Roman" w:cs="Times New Roman"/>
                <w:color w:val="000000"/>
                <w:lang w:eastAsia="es-CL"/>
              </w:rPr>
              <w:t>57,36 (11,93)</w:t>
            </w:r>
          </w:p>
        </w:tc>
        <w:tc>
          <w:tcPr>
            <w:tcW w:w="1860" w:type="dxa"/>
            <w:tcBorders>
              <w:top w:val="nil"/>
              <w:left w:val="nil"/>
              <w:bottom w:val="single" w:sz="4" w:space="0" w:color="auto"/>
              <w:right w:val="nil"/>
            </w:tcBorders>
            <w:shd w:val="clear" w:color="auto" w:fill="auto"/>
            <w:noWrap/>
            <w:vAlign w:val="bottom"/>
            <w:hideMark/>
          </w:tcPr>
          <w:p w14:paraId="0E9A8FC9" w14:textId="77777777" w:rsidR="005D00A1" w:rsidRPr="005D00A1" w:rsidRDefault="005D00A1" w:rsidP="005D00A1">
            <w:pPr>
              <w:spacing w:after="0" w:line="240" w:lineRule="auto"/>
              <w:jc w:val="center"/>
              <w:rPr>
                <w:rFonts w:ascii="Times New Roman" w:eastAsia="Times New Roman" w:hAnsi="Times New Roman" w:cs="Times New Roman"/>
                <w:color w:val="000000"/>
                <w:lang w:eastAsia="es-CL"/>
              </w:rPr>
            </w:pPr>
            <w:r w:rsidRPr="005D00A1">
              <w:rPr>
                <w:rFonts w:ascii="Times New Roman" w:eastAsia="Times New Roman" w:hAnsi="Times New Roman" w:cs="Times New Roman"/>
                <w:color w:val="000000"/>
                <w:lang w:eastAsia="es-CL"/>
              </w:rPr>
              <w:t>50,32 (17,48)</w:t>
            </w:r>
          </w:p>
        </w:tc>
        <w:tc>
          <w:tcPr>
            <w:tcW w:w="1340" w:type="dxa"/>
            <w:tcBorders>
              <w:top w:val="nil"/>
              <w:left w:val="nil"/>
              <w:bottom w:val="single" w:sz="4" w:space="0" w:color="auto"/>
              <w:right w:val="nil"/>
            </w:tcBorders>
            <w:shd w:val="clear" w:color="auto" w:fill="auto"/>
            <w:noWrap/>
            <w:vAlign w:val="bottom"/>
            <w:hideMark/>
          </w:tcPr>
          <w:p w14:paraId="5A8AC5DE" w14:textId="77777777" w:rsidR="005D00A1" w:rsidRPr="005D00A1" w:rsidRDefault="005D00A1" w:rsidP="005D00A1">
            <w:pPr>
              <w:spacing w:after="0" w:line="240" w:lineRule="auto"/>
              <w:jc w:val="center"/>
              <w:rPr>
                <w:rFonts w:ascii="Times New Roman" w:eastAsia="Times New Roman" w:hAnsi="Times New Roman" w:cs="Times New Roman"/>
                <w:color w:val="000000"/>
                <w:lang w:eastAsia="es-CL"/>
              </w:rPr>
            </w:pPr>
            <w:r w:rsidRPr="005D00A1">
              <w:rPr>
                <w:rFonts w:ascii="Times New Roman" w:eastAsia="Times New Roman" w:hAnsi="Times New Roman" w:cs="Times New Roman"/>
                <w:color w:val="000000"/>
                <w:lang w:eastAsia="es-CL"/>
              </w:rPr>
              <w:t>31,95 (17,58)</w:t>
            </w:r>
          </w:p>
        </w:tc>
      </w:tr>
    </w:tbl>
    <w:p w14:paraId="3E99D137" w14:textId="26D1477C" w:rsidR="006573BC" w:rsidRDefault="006573BC" w:rsidP="00130994">
      <w:pPr>
        <w:spacing w:after="0" w:line="360" w:lineRule="auto"/>
        <w:jc w:val="both"/>
        <w:rPr>
          <w:rFonts w:ascii="Times New Roman" w:hAnsi="Times New Roman" w:cs="Times New Roman"/>
          <w:sz w:val="24"/>
          <w:szCs w:val="24"/>
        </w:rPr>
      </w:pPr>
    </w:p>
    <w:p w14:paraId="45B0311F" w14:textId="77777777" w:rsidR="005D00A1" w:rsidRDefault="005D00A1" w:rsidP="00130994">
      <w:pPr>
        <w:spacing w:after="0" w:line="360" w:lineRule="auto"/>
        <w:jc w:val="both"/>
        <w:rPr>
          <w:rFonts w:ascii="Times New Roman" w:hAnsi="Times New Roman" w:cs="Times New Roman"/>
          <w:sz w:val="24"/>
          <w:szCs w:val="24"/>
        </w:rPr>
      </w:pPr>
    </w:p>
    <w:p w14:paraId="789E4827" w14:textId="79E9670F" w:rsidR="00A1795C" w:rsidRDefault="00A1795C" w:rsidP="00130994">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Discusión</w:t>
      </w:r>
    </w:p>
    <w:p w14:paraId="0A23A7A8" w14:textId="14E39F97" w:rsidR="00A1795C" w:rsidRDefault="00A1795C" w:rsidP="00130994">
      <w:pPr>
        <w:spacing w:after="0" w:line="360" w:lineRule="auto"/>
        <w:jc w:val="both"/>
        <w:rPr>
          <w:rFonts w:ascii="Times New Roman" w:hAnsi="Times New Roman" w:cs="Times New Roman"/>
          <w:b/>
          <w:sz w:val="24"/>
          <w:szCs w:val="24"/>
        </w:rPr>
      </w:pPr>
    </w:p>
    <w:p w14:paraId="64C6658C" w14:textId="2D4E4F21" w:rsidR="003A0CE7" w:rsidRDefault="002706F4" w:rsidP="57FB45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t>El presente estudio tenía por objetivo caracterizar a los pacientes depresivos atendidos</w:t>
      </w:r>
      <w:r w:rsidR="003A0CE7">
        <w:rPr>
          <w:rFonts w:ascii="Times New Roman" w:hAnsi="Times New Roman" w:cs="Times New Roman"/>
          <w:sz w:val="24"/>
          <w:szCs w:val="24"/>
        </w:rPr>
        <w:t xml:space="preserve"> en la Región Metropolitana</w:t>
      </w:r>
      <w:r>
        <w:rPr>
          <w:rFonts w:ascii="Times New Roman" w:hAnsi="Times New Roman" w:cs="Times New Roman"/>
          <w:sz w:val="24"/>
          <w:szCs w:val="24"/>
        </w:rPr>
        <w:t xml:space="preserve"> en dos tipos de instituciones, públicas y privadas, y evaluar si existe alguna diferencia en los indicadores relacionados a los resultados de las terapias que en ellas se desarrollan. </w:t>
      </w:r>
      <w:r w:rsidR="00E94F9B">
        <w:rPr>
          <w:rFonts w:ascii="Times New Roman" w:hAnsi="Times New Roman" w:cs="Times New Roman"/>
          <w:sz w:val="24"/>
          <w:szCs w:val="24"/>
        </w:rPr>
        <w:t>En relación con el</w:t>
      </w:r>
      <w:r w:rsidR="003A0CE7">
        <w:rPr>
          <w:rFonts w:ascii="Times New Roman" w:hAnsi="Times New Roman" w:cs="Times New Roman"/>
          <w:sz w:val="24"/>
          <w:szCs w:val="24"/>
        </w:rPr>
        <w:t xml:space="preserve"> primer objetivo, las muestras en este estudio recolectadas difieren en edad, en el porcentaje de mujeres que son atendidas en cada tipo de institución, en educación y en ocupación. </w:t>
      </w:r>
    </w:p>
    <w:p w14:paraId="52619502" w14:textId="5C5789EC" w:rsidR="003A0CE7" w:rsidRDefault="003A0CE7" w:rsidP="0013099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E94F9B">
        <w:rPr>
          <w:rFonts w:ascii="Times New Roman" w:hAnsi="Times New Roman" w:cs="Times New Roman"/>
          <w:sz w:val="24"/>
          <w:szCs w:val="24"/>
        </w:rPr>
        <w:t xml:space="preserve">Los pacientes que se atendieron en instituciones privadas presentaron un mayor nivel de escolaridad y eran en mayor proporción estudiantes, lo que explica también que la media de edad de los pacientes también resultó ser más baja. Llama la atención la alta proporción de mujeres entre los pacientes atendidos en COSAM. </w:t>
      </w:r>
    </w:p>
    <w:p w14:paraId="25530E7C" w14:textId="7F9633F9" w:rsidR="009F54F4" w:rsidRDefault="009F54F4" w:rsidP="0013099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En el </w:t>
      </w:r>
      <w:r w:rsidR="00E9246B">
        <w:rPr>
          <w:rFonts w:ascii="Times New Roman" w:hAnsi="Times New Roman" w:cs="Times New Roman"/>
          <w:sz w:val="24"/>
          <w:szCs w:val="24"/>
        </w:rPr>
        <w:t xml:space="preserve">ámbito de las variables clínicas, se ven fuertes diferencias en los niveles de sintomatología, el nivel de vulnerabilidad estructural y el malestar general con lo que llegan los pacientes. Sin embargo, al considerar que la muestra instituciones públicas corresponden a consultas de atención secundaria, donde se deriva al paciente desde la APS, parece esperable que sean pacientes de mayor </w:t>
      </w:r>
      <w:r w:rsidR="006C0C19">
        <w:rPr>
          <w:rFonts w:ascii="Times New Roman" w:hAnsi="Times New Roman" w:cs="Times New Roman"/>
          <w:sz w:val="24"/>
          <w:szCs w:val="24"/>
        </w:rPr>
        <w:t xml:space="preserve">nivel de </w:t>
      </w:r>
      <w:r w:rsidR="00E9246B">
        <w:rPr>
          <w:rFonts w:ascii="Times New Roman" w:hAnsi="Times New Roman" w:cs="Times New Roman"/>
          <w:sz w:val="24"/>
          <w:szCs w:val="24"/>
        </w:rPr>
        <w:t xml:space="preserve">complejidad. </w:t>
      </w:r>
    </w:p>
    <w:p w14:paraId="395CC48B" w14:textId="328D2F22" w:rsidR="00E9246B" w:rsidRDefault="00E9246B" w:rsidP="0013099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Con respecto a los resultados de la terapia, se observó una mayor proporción de pacientes que llegan a un término del tratamiento por mutuo acuerdo con el terapeuta en las</w:t>
      </w:r>
      <w:r w:rsidR="00D0792B">
        <w:rPr>
          <w:rFonts w:ascii="Times New Roman" w:hAnsi="Times New Roman" w:cs="Times New Roman"/>
          <w:sz w:val="24"/>
          <w:szCs w:val="24"/>
        </w:rPr>
        <w:t xml:space="preserve"> instituciones públicas, en relación con las instituciones privadas. Hay que considerar que los COSAM actúan como centros de atención para patologías con Garantías Explícitas de Salud (GES), dentro de las cuales se encuentra el Trastorno Depresivo Mayor. </w:t>
      </w:r>
      <w:r w:rsidR="005006E7">
        <w:rPr>
          <w:rFonts w:ascii="Times New Roman" w:hAnsi="Times New Roman" w:cs="Times New Roman"/>
          <w:sz w:val="24"/>
          <w:szCs w:val="24"/>
        </w:rPr>
        <w:t>Dado que las guías clínicas asociadas a estas patologías usualmente proponen límites al número de sesiones</w:t>
      </w:r>
      <w:r w:rsidR="00E85576">
        <w:rPr>
          <w:rFonts w:ascii="Times New Roman" w:hAnsi="Times New Roman" w:cs="Times New Roman"/>
          <w:sz w:val="24"/>
          <w:szCs w:val="24"/>
        </w:rPr>
        <w:t xml:space="preserve">, una posible explicación puede ir en la línea de que las terapias, al tener límites externos expuestos, terminan apresuradamente para cumplir con dichos estándares. </w:t>
      </w:r>
    </w:p>
    <w:p w14:paraId="6D55E99D" w14:textId="1C1B4E57" w:rsidR="00E85576" w:rsidRDefault="00E85576" w:rsidP="0013099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Por otro lado, a pesar de tener menor porcentaje de pacientes con alta, las instituciones privado-universitarias presentan una menor tasa de abandono de la terapia. Considerando, como se dijo en el párrafo anterior, que las terapias en los centros de salud pública presentan guías clínicas específicas, que </w:t>
      </w:r>
      <w:proofErr w:type="spellStart"/>
      <w:r>
        <w:rPr>
          <w:rFonts w:ascii="Times New Roman" w:hAnsi="Times New Roman" w:cs="Times New Roman"/>
          <w:sz w:val="24"/>
          <w:szCs w:val="24"/>
        </w:rPr>
        <w:t>manualizan</w:t>
      </w:r>
      <w:proofErr w:type="spellEnd"/>
      <w:r>
        <w:rPr>
          <w:rFonts w:ascii="Times New Roman" w:hAnsi="Times New Roman" w:cs="Times New Roman"/>
          <w:sz w:val="24"/>
          <w:szCs w:val="24"/>
        </w:rPr>
        <w:t xml:space="preserve"> de mayor manera el proceso y establecen estándares más rígidos </w:t>
      </w:r>
      <w:r w:rsidR="008511B6">
        <w:rPr>
          <w:rFonts w:ascii="Times New Roman" w:hAnsi="Times New Roman" w:cs="Times New Roman"/>
          <w:sz w:val="24"/>
          <w:szCs w:val="24"/>
        </w:rPr>
        <w:t xml:space="preserve">que deben ser seguidos por el terapeuta, quizás </w:t>
      </w:r>
      <w:r w:rsidR="009B3939">
        <w:rPr>
          <w:rFonts w:ascii="Times New Roman" w:hAnsi="Times New Roman" w:cs="Times New Roman"/>
          <w:sz w:val="24"/>
          <w:szCs w:val="24"/>
        </w:rPr>
        <w:t xml:space="preserve">la mayor tasa de abandono en estas instituciones podría disminuirse de aplicarse una indicación </w:t>
      </w:r>
      <w:r w:rsidR="0007673E">
        <w:rPr>
          <w:rFonts w:ascii="Times New Roman" w:hAnsi="Times New Roman" w:cs="Times New Roman"/>
          <w:sz w:val="24"/>
          <w:szCs w:val="24"/>
        </w:rPr>
        <w:t>que sea</w:t>
      </w:r>
      <w:r w:rsidR="009B3939">
        <w:rPr>
          <w:rFonts w:ascii="Times New Roman" w:hAnsi="Times New Roman" w:cs="Times New Roman"/>
          <w:sz w:val="24"/>
          <w:szCs w:val="24"/>
        </w:rPr>
        <w:t xml:space="preserve"> adaptativa a las necesidades en todo momento del paciente, como es aplicado en la Unidad de Psicoterapia Adulto (UPA UC), uno de los centros privado-universitario aquí estudiado</w:t>
      </w:r>
      <w:r w:rsidR="006C0C19">
        <w:rPr>
          <w:rFonts w:ascii="Times New Roman" w:hAnsi="Times New Roman" w:cs="Times New Roman"/>
          <w:sz w:val="24"/>
          <w:szCs w:val="24"/>
        </w:rPr>
        <w:t xml:space="preserve"> </w:t>
      </w:r>
      <w:r w:rsidR="006C0C19">
        <w:rPr>
          <w:rFonts w:ascii="Times New Roman" w:hAnsi="Times New Roman" w:cs="Times New Roman"/>
          <w:sz w:val="24"/>
          <w:szCs w:val="24"/>
        </w:rPr>
        <w:lastRenderedPageBreak/>
        <w:t>(</w:t>
      </w:r>
      <w:r w:rsidR="009A3F0A">
        <w:rPr>
          <w:rFonts w:ascii="Times New Roman" w:hAnsi="Times New Roman" w:cs="Times New Roman"/>
          <w:sz w:val="24"/>
          <w:szCs w:val="24"/>
        </w:rPr>
        <w:t xml:space="preserve">De la Parra, </w:t>
      </w:r>
      <w:r w:rsidR="007B1122">
        <w:rPr>
          <w:rFonts w:ascii="Times New Roman" w:hAnsi="Times New Roman" w:cs="Times New Roman"/>
          <w:sz w:val="24"/>
          <w:szCs w:val="24"/>
        </w:rPr>
        <w:t>G</w:t>
      </w:r>
      <w:r w:rsidR="0007673E">
        <w:rPr>
          <w:rFonts w:ascii="Times New Roman" w:hAnsi="Times New Roman" w:cs="Times New Roman"/>
          <w:sz w:val="24"/>
          <w:szCs w:val="24"/>
        </w:rPr>
        <w:t>ómez-</w:t>
      </w:r>
      <w:proofErr w:type="spellStart"/>
      <w:r w:rsidR="0007673E">
        <w:rPr>
          <w:rFonts w:ascii="Times New Roman" w:hAnsi="Times New Roman" w:cs="Times New Roman"/>
          <w:sz w:val="24"/>
          <w:szCs w:val="24"/>
        </w:rPr>
        <w:t>Barris</w:t>
      </w:r>
      <w:proofErr w:type="spellEnd"/>
      <w:r w:rsidR="0007673E">
        <w:rPr>
          <w:rFonts w:ascii="Times New Roman" w:hAnsi="Times New Roman" w:cs="Times New Roman"/>
          <w:sz w:val="24"/>
          <w:szCs w:val="24"/>
        </w:rPr>
        <w:t>, Zúñiga, Dagnino y Valdés</w:t>
      </w:r>
      <w:r w:rsidR="009A3F0A">
        <w:rPr>
          <w:rFonts w:ascii="Times New Roman" w:hAnsi="Times New Roman" w:cs="Times New Roman"/>
          <w:sz w:val="24"/>
          <w:szCs w:val="24"/>
        </w:rPr>
        <w:t>, 2017</w:t>
      </w:r>
      <w:r w:rsidR="006C0C19">
        <w:rPr>
          <w:rFonts w:ascii="Times New Roman" w:hAnsi="Times New Roman" w:cs="Times New Roman"/>
          <w:sz w:val="24"/>
          <w:szCs w:val="24"/>
        </w:rPr>
        <w:t>)</w:t>
      </w:r>
      <w:r w:rsidR="009B3939">
        <w:rPr>
          <w:rFonts w:ascii="Times New Roman" w:hAnsi="Times New Roman" w:cs="Times New Roman"/>
          <w:sz w:val="24"/>
          <w:szCs w:val="24"/>
        </w:rPr>
        <w:t>.</w:t>
      </w:r>
      <w:r w:rsidR="0007673E">
        <w:rPr>
          <w:rFonts w:ascii="Times New Roman" w:hAnsi="Times New Roman" w:cs="Times New Roman"/>
          <w:sz w:val="24"/>
          <w:szCs w:val="24"/>
        </w:rPr>
        <w:t xml:space="preserve"> Este tipo de indicación implica que el tratamiento se altere para adaptarse al paciente, tomando en cuenta </w:t>
      </w:r>
      <w:r w:rsidR="00F00C55">
        <w:rPr>
          <w:rFonts w:ascii="Times New Roman" w:hAnsi="Times New Roman" w:cs="Times New Roman"/>
          <w:sz w:val="24"/>
          <w:szCs w:val="24"/>
        </w:rPr>
        <w:t xml:space="preserve">tanto condiciones internas, como </w:t>
      </w:r>
      <w:r w:rsidR="0007673E">
        <w:rPr>
          <w:rFonts w:ascii="Times New Roman" w:hAnsi="Times New Roman" w:cs="Times New Roman"/>
          <w:sz w:val="24"/>
          <w:szCs w:val="24"/>
        </w:rPr>
        <w:t>condiciones externa</w:t>
      </w:r>
      <w:r w:rsidR="00F00C55">
        <w:rPr>
          <w:rFonts w:ascii="Times New Roman" w:hAnsi="Times New Roman" w:cs="Times New Roman"/>
          <w:sz w:val="24"/>
          <w:szCs w:val="24"/>
        </w:rPr>
        <w:t>s</w:t>
      </w:r>
      <w:r w:rsidR="0007673E">
        <w:rPr>
          <w:rFonts w:ascii="Times New Roman" w:hAnsi="Times New Roman" w:cs="Times New Roman"/>
          <w:sz w:val="24"/>
          <w:szCs w:val="24"/>
        </w:rPr>
        <w:t xml:space="preserve"> como la vida familiar y laboral del paciente</w:t>
      </w:r>
      <w:r w:rsidR="00F00C55">
        <w:rPr>
          <w:rFonts w:ascii="Times New Roman" w:hAnsi="Times New Roman" w:cs="Times New Roman"/>
          <w:sz w:val="24"/>
          <w:szCs w:val="24"/>
        </w:rPr>
        <w:t xml:space="preserve">, la capacidad de financiamiento, entre otras variables. El objetivo es que la indicación sea “hecha a medida”. </w:t>
      </w:r>
    </w:p>
    <w:p w14:paraId="0BD299D2" w14:textId="02436E57" w:rsidR="009B3939" w:rsidRDefault="009B3939" w:rsidP="0013099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Una gran limitación de este estudio consistió e</w:t>
      </w:r>
      <w:r w:rsidR="001A4686">
        <w:rPr>
          <w:rFonts w:ascii="Times New Roman" w:hAnsi="Times New Roman" w:cs="Times New Roman"/>
          <w:sz w:val="24"/>
          <w:szCs w:val="24"/>
        </w:rPr>
        <w:t xml:space="preserve">n el bajo número de pacientes que alcanzaron el alta durante el seguimiento, lo que hizo que la muestra final para ver las diferencias pre y post terapia sea muy baja. Por lo mismo, y dada la baja potencia que presenta el estudio en este punto específico, no fue posible encontrar diferencias significativas en los indicadores clínicas, al evaluar la pre y post terapia. Por otro lado, al no haber medido a los pacientes que continuaban la terapia, también se pierde la opción de evaluar si en esos pacientes se observa una diferencia, a pesar de no haber recibido el alta aún. </w:t>
      </w:r>
    </w:p>
    <w:p w14:paraId="6FECB015" w14:textId="4E781791" w:rsidR="001A4686" w:rsidRDefault="001A4686" w:rsidP="0013099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Finalmente, más investigaciones son necesarias para poder establecer qué </w:t>
      </w:r>
      <w:r w:rsidR="00F00C55">
        <w:rPr>
          <w:rFonts w:ascii="Times New Roman" w:hAnsi="Times New Roman" w:cs="Times New Roman"/>
          <w:sz w:val="24"/>
          <w:szCs w:val="24"/>
        </w:rPr>
        <w:t xml:space="preserve">características de cada tipo de institución explican las diferencias aquí encontradas. Sin embargo, parece ser que existen diferencias tanto en el tipo de paciente que se atiende en los distintos tipos de instituciones como en cómo se llevan a cabo las terapias en ambos tipos de instituciones. </w:t>
      </w:r>
    </w:p>
    <w:p w14:paraId="5400E8BD" w14:textId="77777777" w:rsidR="00D82978" w:rsidRDefault="00D82978">
      <w:pPr>
        <w:rPr>
          <w:rFonts w:ascii="Times New Roman" w:hAnsi="Times New Roman" w:cs="Times New Roman"/>
          <w:b/>
          <w:i/>
          <w:sz w:val="24"/>
          <w:szCs w:val="24"/>
        </w:rPr>
      </w:pPr>
      <w:r>
        <w:rPr>
          <w:rFonts w:ascii="Times New Roman" w:hAnsi="Times New Roman" w:cs="Times New Roman"/>
          <w:b/>
          <w:i/>
          <w:sz w:val="24"/>
          <w:szCs w:val="24"/>
        </w:rPr>
        <w:br w:type="page"/>
      </w:r>
    </w:p>
    <w:p w14:paraId="70C46C16" w14:textId="3D6482F6" w:rsidR="003A0CE7" w:rsidRPr="00D82978" w:rsidRDefault="00DB3409" w:rsidP="00D82978">
      <w:pPr>
        <w:jc w:val="center"/>
        <w:rPr>
          <w:rFonts w:ascii="Times New Roman" w:hAnsi="Times New Roman" w:cs="Times New Roman"/>
          <w:b/>
          <w:i/>
          <w:sz w:val="24"/>
          <w:szCs w:val="24"/>
        </w:rPr>
      </w:pPr>
      <w:r>
        <w:rPr>
          <w:rFonts w:ascii="Times New Roman" w:hAnsi="Times New Roman" w:cs="Times New Roman"/>
          <w:b/>
          <w:sz w:val="24"/>
          <w:szCs w:val="24"/>
        </w:rPr>
        <w:lastRenderedPageBreak/>
        <w:t>Conclusiones Finales</w:t>
      </w:r>
    </w:p>
    <w:p w14:paraId="76E7DF8D" w14:textId="1F2B9FD6" w:rsidR="00DB3409" w:rsidRDefault="00DB3409" w:rsidP="00DB3409">
      <w:pPr>
        <w:spacing w:after="0" w:line="360" w:lineRule="auto"/>
        <w:jc w:val="center"/>
        <w:rPr>
          <w:rFonts w:ascii="Times New Roman" w:hAnsi="Times New Roman" w:cs="Times New Roman"/>
          <w:b/>
          <w:sz w:val="24"/>
          <w:szCs w:val="24"/>
        </w:rPr>
      </w:pPr>
    </w:p>
    <w:p w14:paraId="679F88F7" w14:textId="06DF4856" w:rsidR="00F75A4B" w:rsidRDefault="00E1679F" w:rsidP="00E1679F">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El objetivo principal de este manuscrito es describir el cómo la salud mental es considerada en las políticas públicas actuales y cómo esto se ve reflejado al comparar tanto características sociode</w:t>
      </w:r>
      <w:r w:rsidR="00EE209B">
        <w:rPr>
          <w:rFonts w:ascii="Times New Roman" w:hAnsi="Times New Roman" w:cs="Times New Roman"/>
          <w:sz w:val="24"/>
          <w:szCs w:val="24"/>
        </w:rPr>
        <w:t>m</w:t>
      </w:r>
      <w:r>
        <w:rPr>
          <w:rFonts w:ascii="Times New Roman" w:hAnsi="Times New Roman" w:cs="Times New Roman"/>
          <w:sz w:val="24"/>
          <w:szCs w:val="24"/>
        </w:rPr>
        <w:t>ográficas como de resultado de la terapia en pacientes atendidos en instituciones públicas versus instituciones privadas.</w:t>
      </w:r>
    </w:p>
    <w:p w14:paraId="01393451" w14:textId="13C1059B" w:rsidR="00E1679F" w:rsidRDefault="00E1679F" w:rsidP="00E1679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En primer lugar, podemos concluir que</w:t>
      </w:r>
      <w:r w:rsidR="00333E7E">
        <w:rPr>
          <w:rFonts w:ascii="Times New Roman" w:hAnsi="Times New Roman" w:cs="Times New Roman"/>
          <w:sz w:val="24"/>
          <w:szCs w:val="24"/>
        </w:rPr>
        <w:t xml:space="preserve"> aún cuándo en los últimos años se han realizado múltiples propuestas sobre salud mental, como el Plan Nacional de Prevención del Suicidio o el Plan Nacional de Salud Mental de 2017, todavía no se observan mejoras a nivel de la sintomatología depresiva en la población o los niveles de ideación suicida. Se ha visto una mejora en el ámbito de Recursos Humanos asociados a salud mental, pero no se ha visto que esto vaya acompañado de un aumento del financiamiento, lo que es posible que implique una falta a nivel de infraestructura e implementos necesarios para el tratamiento óptimo de los pacientes.</w:t>
      </w:r>
      <w:r>
        <w:rPr>
          <w:rFonts w:ascii="Times New Roman" w:hAnsi="Times New Roman" w:cs="Times New Roman"/>
          <w:sz w:val="24"/>
          <w:szCs w:val="24"/>
        </w:rPr>
        <w:t xml:space="preserve"> </w:t>
      </w:r>
    </w:p>
    <w:p w14:paraId="6F00BD82" w14:textId="6A3A0BEE" w:rsidR="00333E7E" w:rsidRDefault="00333E7E" w:rsidP="00E1679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De esta forma, la salud mental sigue teniendo un papel muy secundario en relación a </w:t>
      </w:r>
      <w:r w:rsidR="00293828">
        <w:rPr>
          <w:rFonts w:ascii="Times New Roman" w:hAnsi="Times New Roman" w:cs="Times New Roman"/>
          <w:sz w:val="24"/>
          <w:szCs w:val="24"/>
        </w:rPr>
        <w:t>la salud física y hace falta aumentar el presupuesto dispuesto para ella y, de la mano de ello, mejorar la atención que reciben las personas que requieren atención psicológica.</w:t>
      </w:r>
    </w:p>
    <w:p w14:paraId="4FE88EFD" w14:textId="07011513" w:rsidR="00293828" w:rsidRDefault="00293828" w:rsidP="00E1679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Por otro lado, una de las debilidades que se encuentra al momento de evaluar estas propuestas es la falta de mediciones de la sintomatología de manera confiable y mantenida en el tiempo. Esta tesis presenta un instrumento gratuito y de auto-reporte que fácilmente puede ser utilizado tanto para realizar un screening clínico de los pacientes, como para realizar estudios sobre los niveles de sintomatología presentes en la población. Esto, dado que se estableció un puntaje de corte idóneo para distinguir entre población con patología conocida y sin patología conocida en población chilena. </w:t>
      </w:r>
    </w:p>
    <w:p w14:paraId="4E35A549" w14:textId="788AE458" w:rsidR="00293828" w:rsidRDefault="00293828" w:rsidP="00E1679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Finalmente, en el último capítulo se comparan los resultados de terapias realizadas en instituciones públicas versus privadas, estableciendo que las principales diferencias se observan a nivel de la tasa de deserción y de alta en cada una de las muestras. Esto, eso sí, considerando importantes diferencias en características sociodemográficas de las muestras. </w:t>
      </w:r>
    </w:p>
    <w:p w14:paraId="41D988B2" w14:textId="77777777" w:rsidR="008B4737" w:rsidRDefault="00293828" w:rsidP="00E1679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8B4737">
        <w:rPr>
          <w:rFonts w:ascii="Times New Roman" w:hAnsi="Times New Roman" w:cs="Times New Roman"/>
          <w:sz w:val="24"/>
          <w:szCs w:val="24"/>
        </w:rPr>
        <w:t>Como propuestas finales para mejorar los indicadores de salud asociados a depresión, se destacan:</w:t>
      </w:r>
    </w:p>
    <w:p w14:paraId="03670500" w14:textId="798C466E" w:rsidR="00293828" w:rsidRDefault="008B4737" w:rsidP="008B4737">
      <w:pPr>
        <w:pStyle w:val="Prrafodelista"/>
        <w:numPr>
          <w:ilvl w:val="0"/>
          <w:numId w:val="3"/>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Aumentar significativamente el porcentaje del presupuesto de salud que se utiliza en salud mental, llegando a alcanzar, al menos, el 6% encontrado en países OCDE. Esto con el objetivo de aumentar la cobertura, disminuir los tiempos de espera para primera consulta y entregar a los pacientes un </w:t>
      </w:r>
      <w:r w:rsidR="008909A9">
        <w:rPr>
          <w:rFonts w:ascii="Times New Roman" w:hAnsi="Times New Roman" w:cs="Times New Roman"/>
          <w:sz w:val="24"/>
          <w:szCs w:val="24"/>
        </w:rPr>
        <w:t xml:space="preserve">tratamiento realmente atingente a su patología. </w:t>
      </w:r>
    </w:p>
    <w:p w14:paraId="1576E73E" w14:textId="763D0854" w:rsidR="008909A9" w:rsidRDefault="008909A9" w:rsidP="008B4737">
      <w:pPr>
        <w:pStyle w:val="Prrafodelista"/>
        <w:numPr>
          <w:ilvl w:val="0"/>
          <w:numId w:val="3"/>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Realizar mediciones continuas a nivel poblacional de la sintomatología depresiva, la tasa de suicidio y niveles de ansiedad, entre otros síntomas, con el fin de tener estadísticas fidedignas y constantes sobre los cambios en dichos indicadores. Esto no solo ayudaría a conocer mejor la situación a la que nos enfrentamos, sino también a evaluar de mejor manera los resultados de </w:t>
      </w:r>
      <w:r w:rsidR="00A22D58">
        <w:rPr>
          <w:rFonts w:ascii="Times New Roman" w:hAnsi="Times New Roman" w:cs="Times New Roman"/>
          <w:sz w:val="24"/>
          <w:szCs w:val="24"/>
        </w:rPr>
        <w:t>las intervenciones implementadas.</w:t>
      </w:r>
    </w:p>
    <w:p w14:paraId="526A092A" w14:textId="7B031E53" w:rsidR="00A22D58" w:rsidRDefault="00A22D58" w:rsidP="00A22D58">
      <w:pPr>
        <w:pStyle w:val="Prrafodelista"/>
        <w:numPr>
          <w:ilvl w:val="0"/>
          <w:numId w:val="3"/>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Flexibilizar las guías clínicas y capacitar a los terapeutas, de manera de poder realizar una indicación adaptativa del tratamiento, ayudando a aumentar la adherencia de los pacientes al tratamiento. </w:t>
      </w:r>
    </w:p>
    <w:p w14:paraId="41AF4891" w14:textId="17B7C1C6" w:rsidR="00A22D58" w:rsidRDefault="00A22D58" w:rsidP="00A22D58">
      <w:pPr>
        <w:pStyle w:val="Prrafodelista"/>
        <w:numPr>
          <w:ilvl w:val="0"/>
          <w:numId w:val="3"/>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Otro elemento, comúnmente dejado de lado en estas discusiones, corresponde a aumentar los elementos preventivos de estas patologías, </w:t>
      </w:r>
      <w:proofErr w:type="gramStart"/>
      <w:r>
        <w:rPr>
          <w:rFonts w:ascii="Times New Roman" w:hAnsi="Times New Roman" w:cs="Times New Roman"/>
          <w:sz w:val="24"/>
          <w:szCs w:val="24"/>
        </w:rPr>
        <w:t>como</w:t>
      </w:r>
      <w:proofErr w:type="gramEnd"/>
      <w:r>
        <w:rPr>
          <w:rFonts w:ascii="Times New Roman" w:hAnsi="Times New Roman" w:cs="Times New Roman"/>
          <w:sz w:val="24"/>
          <w:szCs w:val="24"/>
        </w:rPr>
        <w:t xml:space="preserve"> por ejemplo: establecer políticas laborales que promuevan una mejor calidad de vida, que flexibilice horarios de tra</w:t>
      </w:r>
      <w:r w:rsidR="00CF2C89">
        <w:rPr>
          <w:rFonts w:ascii="Times New Roman" w:hAnsi="Times New Roman" w:cs="Times New Roman"/>
          <w:sz w:val="24"/>
          <w:szCs w:val="24"/>
        </w:rPr>
        <w:t>bajo y permitan una mejor vida familiar.</w:t>
      </w:r>
    </w:p>
    <w:p w14:paraId="7F919115" w14:textId="17C867A5" w:rsidR="00CF2C89" w:rsidRDefault="00CF2C89" w:rsidP="00CF2C89">
      <w:pPr>
        <w:spacing w:after="0" w:line="360" w:lineRule="auto"/>
        <w:jc w:val="both"/>
        <w:rPr>
          <w:rFonts w:ascii="Times New Roman" w:hAnsi="Times New Roman" w:cs="Times New Roman"/>
          <w:sz w:val="24"/>
          <w:szCs w:val="24"/>
        </w:rPr>
      </w:pPr>
    </w:p>
    <w:p w14:paraId="7E3CD86A" w14:textId="02CF9908" w:rsidR="00CF2C89" w:rsidRPr="00CF2C89" w:rsidRDefault="00CF2C89" w:rsidP="00CF2C89">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Todo esto, con el objetivo de disminuir los niveles de sintomatología depresiva y ansiosa en la población, disminuyendo también las tasas de suicidio que se presentan. </w:t>
      </w:r>
    </w:p>
    <w:p w14:paraId="022FFBC1" w14:textId="05D9C6CD" w:rsidR="00F75A4B" w:rsidRDefault="00F75A4B" w:rsidP="00DB3409">
      <w:pPr>
        <w:spacing w:after="0" w:line="360" w:lineRule="auto"/>
        <w:jc w:val="center"/>
        <w:rPr>
          <w:rFonts w:ascii="Times New Roman" w:hAnsi="Times New Roman" w:cs="Times New Roman"/>
          <w:b/>
          <w:sz w:val="24"/>
          <w:szCs w:val="24"/>
        </w:rPr>
      </w:pPr>
    </w:p>
    <w:p w14:paraId="0EAC55FC" w14:textId="046B4ECD" w:rsidR="00F75A4B" w:rsidRDefault="00F75A4B" w:rsidP="00DB3409">
      <w:pPr>
        <w:spacing w:after="0" w:line="360" w:lineRule="auto"/>
        <w:jc w:val="center"/>
        <w:rPr>
          <w:rFonts w:ascii="Times New Roman" w:hAnsi="Times New Roman" w:cs="Times New Roman"/>
          <w:b/>
          <w:sz w:val="24"/>
          <w:szCs w:val="24"/>
        </w:rPr>
      </w:pPr>
    </w:p>
    <w:p w14:paraId="23BAC3C9" w14:textId="4EF5C5C8" w:rsidR="00F75A4B" w:rsidRDefault="00F75A4B" w:rsidP="00DB3409">
      <w:pPr>
        <w:spacing w:after="0" w:line="360" w:lineRule="auto"/>
        <w:jc w:val="center"/>
        <w:rPr>
          <w:rFonts w:ascii="Times New Roman" w:hAnsi="Times New Roman" w:cs="Times New Roman"/>
          <w:b/>
          <w:sz w:val="24"/>
          <w:szCs w:val="24"/>
        </w:rPr>
      </w:pPr>
    </w:p>
    <w:p w14:paraId="45B15DFD" w14:textId="406F8A47" w:rsidR="00F75A4B" w:rsidRDefault="00F75A4B">
      <w:pPr>
        <w:rPr>
          <w:rFonts w:ascii="Times New Roman" w:hAnsi="Times New Roman" w:cs="Times New Roman"/>
          <w:b/>
          <w:sz w:val="24"/>
          <w:szCs w:val="24"/>
        </w:rPr>
      </w:pPr>
      <w:r>
        <w:rPr>
          <w:rFonts w:ascii="Times New Roman" w:hAnsi="Times New Roman" w:cs="Times New Roman"/>
          <w:b/>
          <w:sz w:val="24"/>
          <w:szCs w:val="24"/>
        </w:rPr>
        <w:br w:type="page"/>
      </w:r>
    </w:p>
    <w:p w14:paraId="121897B1" w14:textId="6570377E" w:rsidR="00F75A4B" w:rsidRPr="00CD6EF6" w:rsidRDefault="00F75A4B" w:rsidP="00DB3409">
      <w:pPr>
        <w:spacing w:after="0" w:line="360" w:lineRule="auto"/>
        <w:jc w:val="center"/>
        <w:rPr>
          <w:rFonts w:ascii="Times New Roman" w:hAnsi="Times New Roman" w:cs="Times New Roman"/>
          <w:b/>
          <w:sz w:val="24"/>
          <w:szCs w:val="24"/>
          <w:lang w:val="en-US"/>
        </w:rPr>
      </w:pPr>
      <w:r w:rsidRPr="00CD6EF6">
        <w:rPr>
          <w:rFonts w:ascii="Times New Roman" w:hAnsi="Times New Roman" w:cs="Times New Roman"/>
          <w:b/>
          <w:sz w:val="24"/>
          <w:szCs w:val="24"/>
          <w:lang w:val="en-US"/>
        </w:rPr>
        <w:lastRenderedPageBreak/>
        <w:t>Referencias</w:t>
      </w:r>
    </w:p>
    <w:p w14:paraId="1D0DB976" w14:textId="3290B1CB" w:rsidR="00F75A4B" w:rsidRPr="00CD6EF6" w:rsidRDefault="00F75A4B" w:rsidP="00DB3409">
      <w:pPr>
        <w:spacing w:after="0" w:line="360" w:lineRule="auto"/>
        <w:jc w:val="center"/>
        <w:rPr>
          <w:rFonts w:ascii="Times New Roman" w:hAnsi="Times New Roman" w:cs="Times New Roman"/>
          <w:b/>
          <w:sz w:val="24"/>
          <w:szCs w:val="24"/>
          <w:lang w:val="en-US"/>
        </w:rPr>
      </w:pPr>
    </w:p>
    <w:p w14:paraId="5D96D72F" w14:textId="77777777" w:rsidR="00F75A4B" w:rsidRDefault="00F75A4B" w:rsidP="00F75A4B">
      <w:pPr>
        <w:ind w:left="426" w:hanging="426"/>
      </w:pPr>
      <w:r>
        <w:rPr>
          <w:lang w:val="en-US"/>
        </w:rPr>
        <w:t xml:space="preserve">Aggarwal, N. &amp; Rowe, M. (2013). The individual mandate, mental health parity, and the Obama Health Plan. </w:t>
      </w:r>
      <w:proofErr w:type="spellStart"/>
      <w:r>
        <w:rPr>
          <w:i/>
        </w:rPr>
        <w:t>Administration</w:t>
      </w:r>
      <w:proofErr w:type="spellEnd"/>
      <w:r>
        <w:rPr>
          <w:i/>
        </w:rPr>
        <w:t xml:space="preserve"> and </w:t>
      </w:r>
      <w:proofErr w:type="spellStart"/>
      <w:r>
        <w:rPr>
          <w:i/>
        </w:rPr>
        <w:t>Policy</w:t>
      </w:r>
      <w:proofErr w:type="spellEnd"/>
      <w:r>
        <w:rPr>
          <w:i/>
        </w:rPr>
        <w:t xml:space="preserve"> in Mental </w:t>
      </w:r>
      <w:proofErr w:type="spellStart"/>
      <w:r>
        <w:rPr>
          <w:i/>
        </w:rPr>
        <w:t>Health</w:t>
      </w:r>
      <w:proofErr w:type="spellEnd"/>
      <w:r>
        <w:rPr>
          <w:i/>
        </w:rPr>
        <w:t xml:space="preserve">. </w:t>
      </w:r>
      <w:r>
        <w:t>40 (4), 255-7.</w:t>
      </w:r>
    </w:p>
    <w:p w14:paraId="7ECA0A66" w14:textId="77777777" w:rsidR="00F75A4B" w:rsidRDefault="00F75A4B" w:rsidP="00F75A4B">
      <w:pPr>
        <w:ind w:left="426" w:hanging="426"/>
      </w:pPr>
      <w:r>
        <w:t xml:space="preserve">Aprueba Garantáis Explícitas de Salud del Régimen General de Garantías en Salud. (22 de febrero de 2013). </w:t>
      </w:r>
      <w:r>
        <w:rPr>
          <w:i/>
        </w:rPr>
        <w:t>Diario Oficial de la República de Chile</w:t>
      </w:r>
      <w:r>
        <w:t>, p.13.</w:t>
      </w:r>
    </w:p>
    <w:p w14:paraId="27FDF393" w14:textId="7B7B8C14" w:rsidR="00F75A4B" w:rsidRDefault="00F75A4B" w:rsidP="00F75A4B">
      <w:pPr>
        <w:ind w:left="426" w:hanging="426"/>
        <w:rPr>
          <w:lang w:val="en-US"/>
        </w:rPr>
      </w:pPr>
      <w:r>
        <w:rPr>
          <w:lang w:val="en-US"/>
        </w:rPr>
        <w:t xml:space="preserve">Andersen, K., </w:t>
      </w:r>
      <w:proofErr w:type="spellStart"/>
      <w:r>
        <w:rPr>
          <w:lang w:val="en-US"/>
        </w:rPr>
        <w:t>Lolk</w:t>
      </w:r>
      <w:proofErr w:type="spellEnd"/>
      <w:r>
        <w:rPr>
          <w:lang w:val="en-US"/>
        </w:rPr>
        <w:t xml:space="preserve">, A., </w:t>
      </w:r>
      <w:proofErr w:type="spellStart"/>
      <w:r>
        <w:rPr>
          <w:lang w:val="en-US"/>
        </w:rPr>
        <w:t>Kragh</w:t>
      </w:r>
      <w:proofErr w:type="spellEnd"/>
      <w:r>
        <w:rPr>
          <w:lang w:val="en-US"/>
        </w:rPr>
        <w:t xml:space="preserve">-Sorensen, P., Petersen, N. &amp; Green, A. (2005). Depression and the risk of Alzheimer Disease. </w:t>
      </w:r>
      <w:r>
        <w:rPr>
          <w:i/>
          <w:lang w:val="en-US"/>
        </w:rPr>
        <w:t>Epidemiology</w:t>
      </w:r>
      <w:r>
        <w:rPr>
          <w:lang w:val="en-US"/>
        </w:rPr>
        <w:t>. 16 (2), 233-8.</w:t>
      </w:r>
    </w:p>
    <w:p w14:paraId="4DB9CA4F" w14:textId="0FD493EE" w:rsidR="005B233C" w:rsidRPr="00CD6EF6" w:rsidRDefault="005B233C" w:rsidP="00F75A4B">
      <w:pPr>
        <w:ind w:left="426" w:hanging="426"/>
        <w:rPr>
          <w:lang w:val="en-US"/>
        </w:rPr>
      </w:pPr>
      <w:r w:rsidRPr="00CD6EF6">
        <w:rPr>
          <w:lang w:val="en-US"/>
        </w:rPr>
        <w:t xml:space="preserve">Batista-Foguet JM., Coenders G. y Alonso J. (2004). </w:t>
      </w:r>
      <w:r>
        <w:t xml:space="preserve">Análisis factorial confirmatorio. Su utilidad en la validación de cuestionarios relacionados con la salud. </w:t>
      </w:r>
      <w:r w:rsidR="002519D8" w:rsidRPr="00CD6EF6">
        <w:rPr>
          <w:i/>
          <w:lang w:val="en-US"/>
        </w:rPr>
        <w:t>Medicina Clínica</w:t>
      </w:r>
      <w:r w:rsidR="002519D8" w:rsidRPr="00CD6EF6">
        <w:rPr>
          <w:lang w:val="en-US"/>
        </w:rPr>
        <w:t>. 122(1), 21-27.</w:t>
      </w:r>
    </w:p>
    <w:p w14:paraId="08B6A397" w14:textId="4AC8E42D" w:rsidR="008A4A96" w:rsidRPr="00CD6EF6" w:rsidRDefault="008A4A96" w:rsidP="00F75A4B">
      <w:pPr>
        <w:ind w:left="426" w:hanging="426"/>
        <w:rPr>
          <w:i/>
          <w:lang w:val="en-US"/>
        </w:rPr>
      </w:pPr>
      <w:r>
        <w:rPr>
          <w:lang w:val="en-US"/>
        </w:rPr>
        <w:t xml:space="preserve">Beck AT., Ward CH., Mendelson M., Mock, J. y </w:t>
      </w:r>
      <w:proofErr w:type="spellStart"/>
      <w:r>
        <w:rPr>
          <w:lang w:val="en-US"/>
        </w:rPr>
        <w:t>Erbaugh</w:t>
      </w:r>
      <w:proofErr w:type="spellEnd"/>
      <w:r>
        <w:rPr>
          <w:lang w:val="en-US"/>
        </w:rPr>
        <w:t xml:space="preserve"> JK. (1961). An inventory for measuring depression. </w:t>
      </w:r>
      <w:r>
        <w:rPr>
          <w:i/>
          <w:lang w:val="en-US"/>
        </w:rPr>
        <w:t xml:space="preserve">Archives General of Psychiatry. </w:t>
      </w:r>
      <w:r w:rsidRPr="00CD6EF6">
        <w:rPr>
          <w:lang w:val="en-US"/>
        </w:rPr>
        <w:t>4(6), 561-71</w:t>
      </w:r>
      <w:r w:rsidRPr="00CD6EF6">
        <w:rPr>
          <w:i/>
          <w:lang w:val="en-US"/>
        </w:rPr>
        <w:t>.</w:t>
      </w:r>
    </w:p>
    <w:p w14:paraId="17E66B97" w14:textId="57CE6A0F" w:rsidR="000C2016" w:rsidRPr="000C2016" w:rsidRDefault="000C2016" w:rsidP="00F75A4B">
      <w:pPr>
        <w:ind w:left="426" w:hanging="426"/>
        <w:rPr>
          <w:lang w:val="en-US"/>
        </w:rPr>
      </w:pPr>
      <w:r w:rsidRPr="000C2016">
        <w:rPr>
          <w:lang w:val="en-US"/>
        </w:rPr>
        <w:t>Beck AT., Steer RA.</w:t>
      </w:r>
      <w:r>
        <w:rPr>
          <w:lang w:val="en-US"/>
        </w:rPr>
        <w:t xml:space="preserve"> y</w:t>
      </w:r>
      <w:r w:rsidRPr="000C2016">
        <w:rPr>
          <w:lang w:val="en-US"/>
        </w:rPr>
        <w:t xml:space="preserve"> </w:t>
      </w:r>
      <w:proofErr w:type="spellStart"/>
      <w:r w:rsidRPr="000C2016">
        <w:rPr>
          <w:lang w:val="en-US"/>
        </w:rPr>
        <w:t>C</w:t>
      </w:r>
      <w:r>
        <w:rPr>
          <w:lang w:val="en-US"/>
        </w:rPr>
        <w:t>arbin</w:t>
      </w:r>
      <w:proofErr w:type="spellEnd"/>
      <w:r>
        <w:rPr>
          <w:lang w:val="en-US"/>
        </w:rPr>
        <w:t xml:space="preserve"> MG. (1988). Psychometric properties of the Beck Depression Inventory: Twenty-five years of evaluation. </w:t>
      </w:r>
      <w:r w:rsidRPr="000C2016">
        <w:rPr>
          <w:i/>
          <w:lang w:val="en-US"/>
        </w:rPr>
        <w:t>Clinical Psychology Reviews</w:t>
      </w:r>
      <w:r>
        <w:rPr>
          <w:lang w:val="en-US"/>
        </w:rPr>
        <w:t>. 8(1), 77-100.</w:t>
      </w:r>
    </w:p>
    <w:p w14:paraId="54762671" w14:textId="6F037421" w:rsidR="00F75A4B" w:rsidRDefault="00F75A4B" w:rsidP="00F75A4B">
      <w:pPr>
        <w:ind w:left="426" w:hanging="426"/>
        <w:rPr>
          <w:i/>
          <w:lang w:val="en-US"/>
        </w:rPr>
      </w:pPr>
      <w:proofErr w:type="spellStart"/>
      <w:r w:rsidRPr="000C2016">
        <w:rPr>
          <w:lang w:val="en-US"/>
        </w:rPr>
        <w:t>Berto</w:t>
      </w:r>
      <w:proofErr w:type="spellEnd"/>
      <w:r w:rsidRPr="000C2016">
        <w:rPr>
          <w:lang w:val="en-US"/>
        </w:rPr>
        <w:t xml:space="preserve">, P., </w:t>
      </w:r>
      <w:proofErr w:type="spellStart"/>
      <w:r w:rsidRPr="000C2016">
        <w:rPr>
          <w:lang w:val="en-US"/>
        </w:rPr>
        <w:t>D’Ilario</w:t>
      </w:r>
      <w:proofErr w:type="spellEnd"/>
      <w:r w:rsidRPr="000C2016">
        <w:rPr>
          <w:lang w:val="en-US"/>
        </w:rPr>
        <w:t>, D., Ruffo, P., Di Virgilio, R. &amp; Ri</w:t>
      </w:r>
      <w:r w:rsidR="008A4A96" w:rsidRPr="000C2016">
        <w:rPr>
          <w:lang w:val="en-US"/>
        </w:rPr>
        <w:t>4</w:t>
      </w:r>
      <w:r w:rsidRPr="000C2016">
        <w:rPr>
          <w:lang w:val="en-US"/>
        </w:rPr>
        <w:t xml:space="preserve">zzo, F. (2000). </w:t>
      </w:r>
      <w:r>
        <w:rPr>
          <w:lang w:val="en-US"/>
        </w:rPr>
        <w:t xml:space="preserve">Depression: Cost-of-illness studies in the international </w:t>
      </w:r>
      <w:proofErr w:type="spellStart"/>
      <w:r>
        <w:rPr>
          <w:lang w:val="en-US"/>
        </w:rPr>
        <w:t>literatura</w:t>
      </w:r>
      <w:proofErr w:type="spellEnd"/>
      <w:r>
        <w:rPr>
          <w:lang w:val="en-US"/>
        </w:rPr>
        <w:t xml:space="preserve">, a review. </w:t>
      </w:r>
      <w:r>
        <w:rPr>
          <w:i/>
          <w:lang w:val="en-US"/>
        </w:rPr>
        <w:t xml:space="preserve">Journal of Mental Health Policy and Economics. </w:t>
      </w:r>
      <w:r>
        <w:rPr>
          <w:lang w:val="en-US"/>
        </w:rPr>
        <w:t>3, 3-10</w:t>
      </w:r>
      <w:r>
        <w:rPr>
          <w:i/>
          <w:lang w:val="en-US"/>
        </w:rPr>
        <w:t>.</w:t>
      </w:r>
    </w:p>
    <w:p w14:paraId="53ADA74C" w14:textId="693BD485" w:rsidR="00F75A4B" w:rsidRPr="00CD6EF6" w:rsidRDefault="00F75A4B" w:rsidP="00F75A4B">
      <w:pPr>
        <w:ind w:left="426" w:hanging="426"/>
        <w:rPr>
          <w:lang w:val="en-US"/>
        </w:rPr>
      </w:pPr>
      <w:proofErr w:type="spellStart"/>
      <w:r>
        <w:rPr>
          <w:lang w:val="en-US"/>
        </w:rPr>
        <w:t>Bertolote</w:t>
      </w:r>
      <w:proofErr w:type="spellEnd"/>
      <w:r>
        <w:rPr>
          <w:lang w:val="en-US"/>
        </w:rPr>
        <w:t xml:space="preserve">, J. &amp; Fleischmann, A. (2002). Suicide and psychiatric diagnosis: a worldwide perspective. </w:t>
      </w:r>
      <w:r w:rsidRPr="00CD6EF6">
        <w:rPr>
          <w:i/>
          <w:lang w:val="en-US"/>
        </w:rPr>
        <w:t xml:space="preserve">World Psychiatry. </w:t>
      </w:r>
      <w:r w:rsidRPr="00CD6EF6">
        <w:rPr>
          <w:lang w:val="en-US"/>
        </w:rPr>
        <w:t xml:space="preserve">1 (3), 181-5. </w:t>
      </w:r>
    </w:p>
    <w:p w14:paraId="3754E1F6" w14:textId="489E7276" w:rsidR="002519D8" w:rsidRPr="00CD6EF6" w:rsidRDefault="002519D8" w:rsidP="00F75A4B">
      <w:pPr>
        <w:ind w:left="426" w:hanging="426"/>
        <w:rPr>
          <w:lang w:val="en-US"/>
        </w:rPr>
      </w:pPr>
      <w:r w:rsidRPr="002519D8">
        <w:rPr>
          <w:lang w:val="en-US"/>
        </w:rPr>
        <w:t xml:space="preserve">Browne MW. y </w:t>
      </w:r>
      <w:proofErr w:type="spellStart"/>
      <w:r w:rsidRPr="002519D8">
        <w:rPr>
          <w:lang w:val="en-US"/>
        </w:rPr>
        <w:t>Cudeck</w:t>
      </w:r>
      <w:proofErr w:type="spellEnd"/>
      <w:r w:rsidRPr="002519D8">
        <w:rPr>
          <w:lang w:val="en-US"/>
        </w:rPr>
        <w:t xml:space="preserve"> R. Alt</w:t>
      </w:r>
      <w:r>
        <w:rPr>
          <w:lang w:val="en-US"/>
        </w:rPr>
        <w:t xml:space="preserve">ernative ways of assessing model fit. </w:t>
      </w:r>
      <w:r w:rsidRPr="00CD6EF6">
        <w:t xml:space="preserve">(1993). </w:t>
      </w:r>
      <w:r w:rsidRPr="002519D8">
        <w:t>En B</w:t>
      </w:r>
      <w:r>
        <w:t xml:space="preserve">ollen KA. y Long JS. </w:t>
      </w:r>
      <w:r w:rsidRPr="00CD6EF6">
        <w:rPr>
          <w:lang w:val="en-US"/>
        </w:rPr>
        <w:t xml:space="preserve">(Eds.) Testing structural equation models. Beverly Hills, USA: Sage. p.136-162. </w:t>
      </w:r>
    </w:p>
    <w:p w14:paraId="0199E586" w14:textId="0B9E9783" w:rsidR="008D6539" w:rsidRPr="00CD6EF6" w:rsidRDefault="008D6539" w:rsidP="00F75A4B">
      <w:pPr>
        <w:ind w:left="426" w:hanging="426"/>
      </w:pPr>
      <w:r w:rsidRPr="008D6539">
        <w:t>Bonilla J., Bernal G., Santo</w:t>
      </w:r>
      <w:r>
        <w:t xml:space="preserve">s A. y Santos D. (2004). </w:t>
      </w:r>
      <w:r w:rsidRPr="008D6539">
        <w:rPr>
          <w:lang w:val="en-US"/>
        </w:rPr>
        <w:t xml:space="preserve">A revised Spanish </w:t>
      </w:r>
      <w:proofErr w:type="spellStart"/>
      <w:r w:rsidRPr="008D6539">
        <w:rPr>
          <w:lang w:val="en-US"/>
        </w:rPr>
        <w:t>versión</w:t>
      </w:r>
      <w:proofErr w:type="spellEnd"/>
      <w:r w:rsidRPr="008D6539">
        <w:rPr>
          <w:lang w:val="en-US"/>
        </w:rPr>
        <w:t xml:space="preserve"> of</w:t>
      </w:r>
      <w:r>
        <w:rPr>
          <w:lang w:val="en-US"/>
        </w:rPr>
        <w:t xml:space="preserve"> the Beck Depression Inventory</w:t>
      </w:r>
      <w:r w:rsidR="001C6205">
        <w:rPr>
          <w:lang w:val="en-US"/>
        </w:rPr>
        <w:t xml:space="preserve">: Psychometric properties with Puerto Rican sample of college students. </w:t>
      </w:r>
      <w:r w:rsidR="001C6205" w:rsidRPr="00CD6EF6">
        <w:rPr>
          <w:i/>
        </w:rPr>
        <w:t>Journal of Clinical Psychology</w:t>
      </w:r>
      <w:r w:rsidR="001C6205" w:rsidRPr="00CD6EF6">
        <w:t>. 60(1), 119-130.</w:t>
      </w:r>
    </w:p>
    <w:p w14:paraId="47F7FE2D" w14:textId="5E272AAB" w:rsidR="00F75A4B" w:rsidRDefault="00F75A4B" w:rsidP="00F75A4B">
      <w:pPr>
        <w:ind w:left="426" w:hanging="426"/>
      </w:pPr>
      <w:r>
        <w:t xml:space="preserve">Cámara de Diputados. (2018). Boletín 10563-11 Proyecto de Ley: Sobre protección de la salud mental. Recuperado de </w:t>
      </w:r>
      <w:hyperlink r:id="rId24" w:history="1">
        <w:r>
          <w:rPr>
            <w:rStyle w:val="Hipervnculo"/>
            <w:rFonts w:ascii="Times New Roman" w:hAnsi="Times New Roman"/>
            <w:sz w:val="24"/>
            <w:szCs w:val="24"/>
          </w:rPr>
          <w:t>https://www.camara.cl/pley/pley_detalle.aspx?prmID=10987&amp;prmBoletin=10563-11</w:t>
        </w:r>
      </w:hyperlink>
      <w:r>
        <w:rPr>
          <w:rStyle w:val="Hipervnculo"/>
          <w:rFonts w:ascii="Times New Roman" w:hAnsi="Times New Roman"/>
          <w:sz w:val="24"/>
          <w:szCs w:val="24"/>
        </w:rPr>
        <w:t xml:space="preserve"> </w:t>
      </w:r>
      <w:r>
        <w:t>al 10/04/2018.</w:t>
      </w:r>
    </w:p>
    <w:p w14:paraId="1F9CD729" w14:textId="600D12D2" w:rsidR="001C6205" w:rsidRPr="001C6205" w:rsidRDefault="001C6205" w:rsidP="00F75A4B">
      <w:pPr>
        <w:ind w:left="426" w:hanging="426"/>
        <w:rPr>
          <w:lang w:val="en-US"/>
        </w:rPr>
      </w:pPr>
      <w:proofErr w:type="spellStart"/>
      <w:r>
        <w:t>Costello</w:t>
      </w:r>
      <w:proofErr w:type="spellEnd"/>
      <w:r>
        <w:t xml:space="preserve"> AB. y Osborne JW. </w:t>
      </w:r>
      <w:r w:rsidRPr="001C6205">
        <w:rPr>
          <w:lang w:val="en-US"/>
        </w:rPr>
        <w:t>Best practices i</w:t>
      </w:r>
      <w:r>
        <w:rPr>
          <w:lang w:val="en-US"/>
        </w:rPr>
        <w:t xml:space="preserve">n exploratory factor analysis: Four recommendations for getting the most from your analysis. </w:t>
      </w:r>
      <w:r w:rsidRPr="001C6205">
        <w:rPr>
          <w:i/>
          <w:lang w:val="en-US"/>
        </w:rPr>
        <w:t>Practical Assessment, Research and Evaluation</w:t>
      </w:r>
      <w:r>
        <w:rPr>
          <w:lang w:val="en-US"/>
        </w:rPr>
        <w:t>. 10(7), 1-9.</w:t>
      </w:r>
    </w:p>
    <w:p w14:paraId="0FDEEFF3" w14:textId="57986282" w:rsidR="00F75A4B" w:rsidRDefault="00F75A4B" w:rsidP="00F75A4B">
      <w:pPr>
        <w:ind w:left="426" w:hanging="426"/>
        <w:rPr>
          <w:lang w:val="en-US"/>
        </w:rPr>
      </w:pPr>
      <w:proofErr w:type="spellStart"/>
      <w:r w:rsidRPr="001C6205">
        <w:rPr>
          <w:lang w:val="en-US"/>
        </w:rPr>
        <w:lastRenderedPageBreak/>
        <w:t>Demchak</w:t>
      </w:r>
      <w:proofErr w:type="spellEnd"/>
      <w:r w:rsidRPr="001C6205">
        <w:rPr>
          <w:lang w:val="en-US"/>
        </w:rPr>
        <w:t xml:space="preserve">, C. (2007). </w:t>
      </w:r>
      <w:r>
        <w:rPr>
          <w:lang w:val="en-US"/>
        </w:rPr>
        <w:t xml:space="preserve">Financial relief: The effect of State Mental Health Parity Laws on families of children with mental health care needs. </w:t>
      </w:r>
      <w:r>
        <w:rPr>
          <w:i/>
          <w:lang w:val="en-US"/>
        </w:rPr>
        <w:t xml:space="preserve">Findings brief: health care financing &amp; organization. </w:t>
      </w:r>
      <w:r>
        <w:rPr>
          <w:lang w:val="en-US"/>
        </w:rPr>
        <w:t>10 (6), 1-3.</w:t>
      </w:r>
    </w:p>
    <w:p w14:paraId="5B73FDD5" w14:textId="38A3F01E" w:rsidR="008E5610" w:rsidRPr="005D45B3" w:rsidRDefault="008E5610" w:rsidP="005D45B3">
      <w:pPr>
        <w:pStyle w:val="Standard"/>
        <w:spacing w:line="360" w:lineRule="auto"/>
        <w:jc w:val="both"/>
        <w:rPr>
          <w:rFonts w:ascii="Calibri" w:hAnsi="Calibri"/>
          <w:i/>
          <w:iCs/>
          <w:color w:val="000000"/>
          <w:sz w:val="22"/>
          <w:szCs w:val="22"/>
        </w:rPr>
      </w:pPr>
      <w:r w:rsidRPr="008E5610">
        <w:rPr>
          <w:rFonts w:ascii="Calibri" w:hAnsi="Calibri"/>
          <w:iCs/>
          <w:color w:val="000000"/>
          <w:sz w:val="22"/>
          <w:szCs w:val="22"/>
        </w:rPr>
        <w:t xml:space="preserve">De la Parra, G., Undurraga, C., </w:t>
      </w:r>
      <w:proofErr w:type="spellStart"/>
      <w:r w:rsidRPr="008E5610">
        <w:rPr>
          <w:rFonts w:ascii="Calibri" w:hAnsi="Calibri"/>
          <w:iCs/>
          <w:color w:val="000000"/>
          <w:sz w:val="22"/>
          <w:szCs w:val="22"/>
        </w:rPr>
        <w:t>Crempien</w:t>
      </w:r>
      <w:proofErr w:type="spellEnd"/>
      <w:r w:rsidRPr="008E5610">
        <w:rPr>
          <w:rFonts w:ascii="Calibri" w:hAnsi="Calibri"/>
          <w:iCs/>
          <w:color w:val="000000"/>
          <w:sz w:val="22"/>
          <w:szCs w:val="22"/>
        </w:rPr>
        <w:t xml:space="preserve">, C., </w:t>
      </w:r>
      <w:r w:rsidRPr="008E5610">
        <w:rPr>
          <w:rFonts w:ascii="Calibri" w:hAnsi="Calibri"/>
          <w:b/>
          <w:iCs/>
          <w:color w:val="000000"/>
          <w:sz w:val="22"/>
          <w:szCs w:val="22"/>
        </w:rPr>
        <w:t>Valdés, C.,</w:t>
      </w:r>
      <w:r w:rsidRPr="008E5610">
        <w:rPr>
          <w:rFonts w:ascii="Calibri" w:hAnsi="Calibri"/>
          <w:iCs/>
          <w:color w:val="000000"/>
          <w:sz w:val="22"/>
          <w:szCs w:val="22"/>
        </w:rPr>
        <w:t xml:space="preserve"> Dagnino, P., Gómez-</w:t>
      </w:r>
      <w:proofErr w:type="spellStart"/>
      <w:r w:rsidRPr="008E5610">
        <w:rPr>
          <w:rFonts w:ascii="Calibri" w:hAnsi="Calibri"/>
          <w:iCs/>
          <w:color w:val="000000"/>
          <w:sz w:val="22"/>
          <w:szCs w:val="22"/>
        </w:rPr>
        <w:t>Barris</w:t>
      </w:r>
      <w:proofErr w:type="spellEnd"/>
      <w:r w:rsidRPr="008E5610">
        <w:rPr>
          <w:rFonts w:ascii="Calibri" w:hAnsi="Calibri"/>
          <w:iCs/>
          <w:color w:val="000000"/>
          <w:sz w:val="22"/>
          <w:szCs w:val="22"/>
        </w:rPr>
        <w:t xml:space="preserve">, E. </w:t>
      </w:r>
      <w:r w:rsidRPr="008E5610">
        <w:rPr>
          <w:rFonts w:ascii="Calibri" w:hAnsi="Calibri"/>
          <w:i/>
          <w:iCs/>
          <w:color w:val="000000"/>
          <w:sz w:val="22"/>
          <w:szCs w:val="22"/>
        </w:rPr>
        <w:t>[En</w:t>
      </w:r>
      <w:r>
        <w:rPr>
          <w:rFonts w:ascii="Calibri" w:hAnsi="Calibri"/>
          <w:i/>
          <w:iCs/>
          <w:color w:val="000000"/>
          <w:sz w:val="22"/>
          <w:szCs w:val="22"/>
        </w:rPr>
        <w:t>viado</w:t>
      </w:r>
      <w:r w:rsidRPr="008E5610">
        <w:rPr>
          <w:rFonts w:ascii="Calibri" w:hAnsi="Calibri"/>
          <w:i/>
          <w:iCs/>
          <w:color w:val="000000"/>
          <w:sz w:val="22"/>
          <w:szCs w:val="22"/>
        </w:rPr>
        <w:t>]</w:t>
      </w:r>
      <w:r w:rsidRPr="008E5610">
        <w:rPr>
          <w:rFonts w:ascii="Calibri" w:hAnsi="Calibri"/>
          <w:iCs/>
          <w:color w:val="000000"/>
          <w:sz w:val="22"/>
          <w:szCs w:val="22"/>
        </w:rPr>
        <w:t xml:space="preserve"> “Estructura de la personalidad en pacientes con depresión: Adaptación de un instrumento. Resultados preliminares” </w:t>
      </w:r>
      <w:proofErr w:type="spellStart"/>
      <w:r w:rsidRPr="008E5610">
        <w:rPr>
          <w:rFonts w:ascii="Calibri" w:hAnsi="Calibri"/>
          <w:i/>
          <w:iCs/>
          <w:color w:val="000000"/>
          <w:sz w:val="22"/>
          <w:szCs w:val="22"/>
        </w:rPr>
        <w:t>Psykhé</w:t>
      </w:r>
      <w:proofErr w:type="spellEnd"/>
      <w:r>
        <w:rPr>
          <w:rFonts w:ascii="Calibri" w:hAnsi="Calibri"/>
          <w:i/>
          <w:iCs/>
          <w:color w:val="000000"/>
          <w:sz w:val="22"/>
          <w:szCs w:val="22"/>
        </w:rPr>
        <w:t>.</w:t>
      </w:r>
    </w:p>
    <w:p w14:paraId="76A7EA75" w14:textId="77777777" w:rsidR="00F75A4B" w:rsidRPr="00F75A4B" w:rsidRDefault="00F75A4B" w:rsidP="00F75A4B">
      <w:pPr>
        <w:ind w:left="426" w:hanging="426"/>
        <w:rPr>
          <w:lang w:val="en-US"/>
        </w:rPr>
      </w:pPr>
      <w:r>
        <w:rPr>
          <w:lang w:val="en-US"/>
        </w:rPr>
        <w:t xml:space="preserve">Department of Health. (2011). Mental health promotion and mental illness prevention: the economic case. </w:t>
      </w:r>
      <w:r w:rsidRPr="00F75A4B">
        <w:rPr>
          <w:lang w:val="en-US"/>
        </w:rPr>
        <w:t xml:space="preserve">London: Department of Health. </w:t>
      </w:r>
    </w:p>
    <w:p w14:paraId="22DA78A7" w14:textId="77777777" w:rsidR="00F75A4B" w:rsidRDefault="00F75A4B" w:rsidP="00F75A4B">
      <w:pPr>
        <w:ind w:left="426" w:hanging="426"/>
        <w:rPr>
          <w:lang w:val="en-US"/>
        </w:rPr>
      </w:pPr>
      <w:r w:rsidRPr="00F75A4B">
        <w:rPr>
          <w:lang w:val="en-US"/>
        </w:rPr>
        <w:t xml:space="preserve">Department of Human Services. </w:t>
      </w:r>
      <w:r>
        <w:rPr>
          <w:lang w:val="en-US"/>
        </w:rPr>
        <w:t xml:space="preserve">(2009). Because mental health matters: Victorian mental health reform strategy 2009-2019. Australia: Mental Health and Drug Division, Department of Human Services. </w:t>
      </w:r>
    </w:p>
    <w:p w14:paraId="325352BF" w14:textId="77777777" w:rsidR="00F75A4B" w:rsidRDefault="00F75A4B" w:rsidP="00F75A4B">
      <w:pPr>
        <w:ind w:left="426" w:hanging="426"/>
      </w:pPr>
      <w:r>
        <w:t>Departamento de Estadísticas e Información de la Salud - DEIS. (2006a). Mortalidad en ambos sexos de 20 a 44 años: Según causas específicas de defunción.  Santiago: DEIS.</w:t>
      </w:r>
    </w:p>
    <w:p w14:paraId="419A2614" w14:textId="77777777" w:rsidR="00F75A4B" w:rsidRDefault="00F75A4B" w:rsidP="00F75A4B">
      <w:pPr>
        <w:ind w:left="426" w:hanging="426"/>
      </w:pPr>
      <w:r>
        <w:t xml:space="preserve">Departamento de Estadísticas e Información de la Salud - DEIS. (2006b). Mortalidad en Hombres de 20 a 44 años: Según causas específicas de Defunción. Santiago: DEIS. </w:t>
      </w:r>
    </w:p>
    <w:p w14:paraId="51B3AC0D" w14:textId="6230468E" w:rsidR="00F75A4B" w:rsidRDefault="00F75A4B" w:rsidP="00F75A4B">
      <w:pPr>
        <w:ind w:left="426" w:hanging="426"/>
      </w:pPr>
      <w:r>
        <w:t>Departamento de Estadísticas e Información de la Salud - DEIS. (2010a). 10 primeras ca</w:t>
      </w:r>
      <w:r w:rsidR="00270B01">
        <w:t>u</w:t>
      </w:r>
      <w:r>
        <w:t xml:space="preserve">sas de muerte. Chile 2000-2010. Santiago: DEIS. </w:t>
      </w:r>
    </w:p>
    <w:p w14:paraId="74DC3FF1" w14:textId="710FA9E0" w:rsidR="00F75A4B" w:rsidRPr="00CD6EF6" w:rsidRDefault="00F75A4B" w:rsidP="00F75A4B">
      <w:pPr>
        <w:ind w:left="426" w:hanging="426"/>
      </w:pPr>
      <w:r>
        <w:t xml:space="preserve">Departamento de Estadísticas e Información de la Salud. (2010b). Mortalidad por Causa según Sexo, Chile 2000 – 2009. </w:t>
      </w:r>
      <w:r w:rsidRPr="00CD6EF6">
        <w:t>Santiago: DEIS.</w:t>
      </w:r>
    </w:p>
    <w:p w14:paraId="00F4D816" w14:textId="018F422B" w:rsidR="00270B01" w:rsidRPr="00A803EC" w:rsidRDefault="00270B01" w:rsidP="00F75A4B">
      <w:pPr>
        <w:ind w:left="426" w:hanging="426"/>
        <w:rPr>
          <w:rFonts w:cstheme="minorHAnsi"/>
        </w:rPr>
      </w:pPr>
      <w:r w:rsidRPr="00270B01">
        <w:t>Departamentos de Estudios y D</w:t>
      </w:r>
      <w:r>
        <w:t>esarrollo, Superintendencia de Salud</w:t>
      </w:r>
      <w:r w:rsidR="00772E5B">
        <w:t xml:space="preserve">. (2008). Análisis de licencias </w:t>
      </w:r>
      <w:r w:rsidR="00772E5B" w:rsidRPr="00A803EC">
        <w:rPr>
          <w:rFonts w:cstheme="minorHAnsi"/>
        </w:rPr>
        <w:t xml:space="preserve">médicas y gasto por subsidio por incapacidad laboral, año 2010. </w:t>
      </w:r>
    </w:p>
    <w:p w14:paraId="1C998935" w14:textId="77777777" w:rsidR="00A803EC" w:rsidRPr="00A803EC" w:rsidRDefault="00A803EC" w:rsidP="00A803EC">
      <w:pPr>
        <w:snapToGrid w:val="0"/>
        <w:spacing w:line="360" w:lineRule="auto"/>
        <w:ind w:left="357" w:hanging="357"/>
        <w:jc w:val="both"/>
        <w:rPr>
          <w:rFonts w:cstheme="minorHAnsi"/>
          <w:lang w:val="en-US"/>
        </w:rPr>
      </w:pPr>
      <w:proofErr w:type="spellStart"/>
      <w:r w:rsidRPr="00A803EC">
        <w:rPr>
          <w:rFonts w:eastAsia="Century Schoolbook" w:cstheme="minorHAnsi"/>
          <w:color w:val="00000A"/>
          <w:lang w:val="en-US"/>
        </w:rPr>
        <w:t>Ehrenthal</w:t>
      </w:r>
      <w:proofErr w:type="spellEnd"/>
      <w:r w:rsidRPr="00A803EC">
        <w:rPr>
          <w:rFonts w:eastAsia="Century Schoolbook" w:cstheme="minorHAnsi"/>
          <w:color w:val="00000A"/>
          <w:lang w:val="en-US"/>
        </w:rPr>
        <w:t>, J</w:t>
      </w:r>
      <w:r w:rsidRPr="00A803EC">
        <w:rPr>
          <w:rFonts w:eastAsia="Century Schoolbook" w:cstheme="minorHAnsi"/>
          <w:color w:val="00000A"/>
          <w:highlight w:val="white"/>
          <w:lang w:val="en-US"/>
        </w:rPr>
        <w:t xml:space="preserve">. C., Dinger, U., </w:t>
      </w:r>
      <w:proofErr w:type="spellStart"/>
      <w:r w:rsidRPr="00A803EC">
        <w:rPr>
          <w:rFonts w:eastAsia="Century Schoolbook" w:cstheme="minorHAnsi"/>
          <w:color w:val="00000A"/>
          <w:highlight w:val="white"/>
          <w:lang w:val="en-US"/>
        </w:rPr>
        <w:t>Horsch</w:t>
      </w:r>
      <w:proofErr w:type="spellEnd"/>
      <w:r w:rsidRPr="00A803EC">
        <w:rPr>
          <w:rFonts w:eastAsia="Century Schoolbook" w:cstheme="minorHAnsi"/>
          <w:color w:val="00000A"/>
          <w:highlight w:val="white"/>
          <w:lang w:val="en-US"/>
        </w:rPr>
        <w:t xml:space="preserve">, L., </w:t>
      </w:r>
      <w:proofErr w:type="spellStart"/>
      <w:r w:rsidRPr="00A803EC">
        <w:rPr>
          <w:rFonts w:eastAsia="Century Schoolbook" w:cstheme="minorHAnsi"/>
          <w:color w:val="00000A"/>
          <w:highlight w:val="white"/>
          <w:lang w:val="en-US"/>
        </w:rPr>
        <w:t>Komo</w:t>
      </w:r>
      <w:proofErr w:type="spellEnd"/>
      <w:r w:rsidRPr="00A803EC">
        <w:rPr>
          <w:rFonts w:eastAsia="Century Schoolbook" w:cstheme="minorHAnsi"/>
          <w:color w:val="00000A"/>
          <w:highlight w:val="white"/>
          <w:lang w:val="en-US"/>
        </w:rPr>
        <w:t xml:space="preserve">-Lang, M., </w:t>
      </w:r>
      <w:proofErr w:type="spellStart"/>
      <w:r w:rsidRPr="00A803EC">
        <w:rPr>
          <w:rFonts w:eastAsia="Century Schoolbook" w:cstheme="minorHAnsi"/>
          <w:color w:val="00000A"/>
          <w:highlight w:val="white"/>
          <w:lang w:val="en-US"/>
        </w:rPr>
        <w:t>Klinkerfuß</w:t>
      </w:r>
      <w:proofErr w:type="spellEnd"/>
      <w:r w:rsidRPr="00A803EC">
        <w:rPr>
          <w:rFonts w:eastAsia="Century Schoolbook" w:cstheme="minorHAnsi"/>
          <w:color w:val="00000A"/>
          <w:highlight w:val="white"/>
          <w:lang w:val="en-US"/>
        </w:rPr>
        <w:t xml:space="preserve">, M., Grande, T. &amp; </w:t>
      </w:r>
      <w:proofErr w:type="spellStart"/>
      <w:r w:rsidRPr="00A803EC">
        <w:rPr>
          <w:rFonts w:eastAsia="Century Schoolbook" w:cstheme="minorHAnsi"/>
          <w:color w:val="00000A"/>
          <w:highlight w:val="white"/>
          <w:lang w:val="en-US"/>
        </w:rPr>
        <w:t>Schauenburg</w:t>
      </w:r>
      <w:proofErr w:type="spellEnd"/>
      <w:r w:rsidRPr="00A803EC">
        <w:rPr>
          <w:rFonts w:eastAsia="Century Schoolbook" w:cstheme="minorHAnsi"/>
          <w:color w:val="00000A"/>
          <w:highlight w:val="white"/>
          <w:lang w:val="en-US"/>
        </w:rPr>
        <w:t xml:space="preserve">, H. (2012). </w:t>
      </w:r>
      <w:r w:rsidRPr="00A803EC">
        <w:rPr>
          <w:rFonts w:eastAsia="Century Schoolbook" w:cstheme="minorHAnsi"/>
          <w:color w:val="00000A"/>
          <w:highlight w:val="white"/>
        </w:rPr>
        <w:t>Der OPD-</w:t>
      </w:r>
      <w:proofErr w:type="spellStart"/>
      <w:r w:rsidRPr="00A803EC">
        <w:rPr>
          <w:rFonts w:eastAsia="Century Schoolbook" w:cstheme="minorHAnsi"/>
          <w:color w:val="00000A"/>
          <w:highlight w:val="white"/>
        </w:rPr>
        <w:t>Strukturfragebogen</w:t>
      </w:r>
      <w:proofErr w:type="spellEnd"/>
      <w:r w:rsidRPr="00A803EC">
        <w:rPr>
          <w:rFonts w:eastAsia="Century Schoolbook" w:cstheme="minorHAnsi"/>
          <w:color w:val="00000A"/>
          <w:highlight w:val="white"/>
        </w:rPr>
        <w:t xml:space="preserve"> (OPD-SF): </w:t>
      </w:r>
      <w:proofErr w:type="spellStart"/>
      <w:r w:rsidRPr="00A803EC">
        <w:rPr>
          <w:rFonts w:eastAsia="Century Schoolbook" w:cstheme="minorHAnsi"/>
          <w:color w:val="00000A"/>
          <w:highlight w:val="white"/>
        </w:rPr>
        <w:t>Erste</w:t>
      </w:r>
      <w:proofErr w:type="spellEnd"/>
      <w:r w:rsidRPr="00A803EC">
        <w:rPr>
          <w:rFonts w:eastAsia="Century Schoolbook" w:cstheme="minorHAnsi"/>
          <w:color w:val="00000A"/>
          <w:highlight w:val="white"/>
        </w:rPr>
        <w:t xml:space="preserve"> </w:t>
      </w:r>
      <w:proofErr w:type="spellStart"/>
      <w:r w:rsidRPr="00A803EC">
        <w:rPr>
          <w:rFonts w:eastAsia="Century Schoolbook" w:cstheme="minorHAnsi"/>
          <w:color w:val="00000A"/>
          <w:highlight w:val="white"/>
        </w:rPr>
        <w:t>Ergebnisse</w:t>
      </w:r>
      <w:proofErr w:type="spellEnd"/>
      <w:r w:rsidRPr="00A803EC">
        <w:rPr>
          <w:rFonts w:eastAsia="Century Schoolbook" w:cstheme="minorHAnsi"/>
          <w:color w:val="00000A"/>
          <w:highlight w:val="white"/>
        </w:rPr>
        <w:t xml:space="preserve"> </w:t>
      </w:r>
      <w:proofErr w:type="spellStart"/>
      <w:r w:rsidRPr="00A803EC">
        <w:rPr>
          <w:rFonts w:eastAsia="Century Schoolbook" w:cstheme="minorHAnsi"/>
          <w:color w:val="00000A"/>
          <w:highlight w:val="white"/>
        </w:rPr>
        <w:t>zu</w:t>
      </w:r>
      <w:proofErr w:type="spellEnd"/>
      <w:r w:rsidRPr="00A803EC">
        <w:rPr>
          <w:rFonts w:eastAsia="Century Schoolbook" w:cstheme="minorHAnsi"/>
          <w:color w:val="00000A"/>
          <w:highlight w:val="white"/>
        </w:rPr>
        <w:t xml:space="preserve"> </w:t>
      </w:r>
      <w:proofErr w:type="spellStart"/>
      <w:r w:rsidRPr="00A803EC">
        <w:rPr>
          <w:rFonts w:eastAsia="Century Schoolbook" w:cstheme="minorHAnsi"/>
          <w:color w:val="00000A"/>
          <w:highlight w:val="white"/>
        </w:rPr>
        <w:t>Reliabilität</w:t>
      </w:r>
      <w:proofErr w:type="spellEnd"/>
      <w:r w:rsidRPr="00A803EC">
        <w:rPr>
          <w:rFonts w:eastAsia="Century Schoolbook" w:cstheme="minorHAnsi"/>
          <w:color w:val="00000A"/>
          <w:highlight w:val="white"/>
        </w:rPr>
        <w:t xml:space="preserve"> </w:t>
      </w:r>
      <w:proofErr w:type="spellStart"/>
      <w:r w:rsidRPr="00A803EC">
        <w:rPr>
          <w:rFonts w:eastAsia="Century Schoolbook" w:cstheme="minorHAnsi"/>
          <w:color w:val="00000A"/>
          <w:highlight w:val="white"/>
        </w:rPr>
        <w:t>und</w:t>
      </w:r>
      <w:proofErr w:type="spellEnd"/>
      <w:r w:rsidRPr="00A803EC">
        <w:rPr>
          <w:rFonts w:eastAsia="Century Schoolbook" w:cstheme="minorHAnsi"/>
          <w:color w:val="00000A"/>
          <w:highlight w:val="white"/>
        </w:rPr>
        <w:t xml:space="preserve"> </w:t>
      </w:r>
      <w:proofErr w:type="spellStart"/>
      <w:r w:rsidRPr="00A803EC">
        <w:rPr>
          <w:rFonts w:eastAsia="Century Schoolbook" w:cstheme="minorHAnsi"/>
          <w:color w:val="00000A"/>
          <w:highlight w:val="white"/>
        </w:rPr>
        <w:t>Validität</w:t>
      </w:r>
      <w:proofErr w:type="spellEnd"/>
      <w:r w:rsidRPr="00A803EC">
        <w:rPr>
          <w:rFonts w:eastAsia="Century Schoolbook" w:cstheme="minorHAnsi"/>
          <w:color w:val="00000A"/>
        </w:rPr>
        <w:t xml:space="preserve"> </w:t>
      </w:r>
      <w:r w:rsidRPr="00A803EC">
        <w:rPr>
          <w:rFonts w:cstheme="minorHAnsi"/>
          <w:bCs/>
        </w:rPr>
        <w:t>[El cuestionario OPD de Estructura (OPD-SQ): resultados preliminares respecto a su confiabilidad y validez].</w:t>
      </w:r>
      <w:r w:rsidRPr="00A803EC">
        <w:rPr>
          <w:rFonts w:eastAsia="Century Schoolbook" w:cstheme="minorHAnsi"/>
          <w:color w:val="00000A"/>
          <w:highlight w:val="white"/>
        </w:rPr>
        <w:t> </w:t>
      </w:r>
      <w:proofErr w:type="spellStart"/>
      <w:r w:rsidRPr="00A803EC">
        <w:rPr>
          <w:rFonts w:eastAsia="Century Schoolbook" w:cstheme="minorHAnsi"/>
          <w:i/>
          <w:color w:val="00000A"/>
          <w:highlight w:val="white"/>
          <w:lang w:val="fr-FR"/>
        </w:rPr>
        <w:t>Psychotherapie</w:t>
      </w:r>
      <w:proofErr w:type="spellEnd"/>
      <w:r w:rsidRPr="00A803EC">
        <w:rPr>
          <w:rFonts w:eastAsia="Century Schoolbook" w:cstheme="minorHAnsi"/>
          <w:i/>
          <w:color w:val="00000A"/>
          <w:highlight w:val="white"/>
          <w:lang w:val="fr-FR"/>
        </w:rPr>
        <w:t xml:space="preserve">, </w:t>
      </w:r>
      <w:proofErr w:type="spellStart"/>
      <w:r w:rsidRPr="00A803EC">
        <w:rPr>
          <w:rFonts w:eastAsia="Century Schoolbook" w:cstheme="minorHAnsi"/>
          <w:i/>
          <w:color w:val="00000A"/>
          <w:highlight w:val="white"/>
          <w:lang w:val="fr-FR"/>
        </w:rPr>
        <w:t>Psychosomatik</w:t>
      </w:r>
      <w:proofErr w:type="spellEnd"/>
      <w:r w:rsidRPr="00A803EC">
        <w:rPr>
          <w:rFonts w:eastAsia="Century Schoolbook" w:cstheme="minorHAnsi"/>
          <w:i/>
          <w:color w:val="00000A"/>
          <w:highlight w:val="white"/>
          <w:lang w:val="fr-FR"/>
        </w:rPr>
        <w:t xml:space="preserve">, </w:t>
      </w:r>
      <w:proofErr w:type="spellStart"/>
      <w:r w:rsidRPr="00A803EC">
        <w:rPr>
          <w:rFonts w:eastAsia="Century Schoolbook" w:cstheme="minorHAnsi"/>
          <w:i/>
          <w:color w:val="00000A"/>
          <w:highlight w:val="white"/>
          <w:lang w:val="fr-FR"/>
        </w:rPr>
        <w:t>Medizinische</w:t>
      </w:r>
      <w:proofErr w:type="spellEnd"/>
      <w:r w:rsidRPr="00A803EC">
        <w:rPr>
          <w:rFonts w:eastAsia="Century Schoolbook" w:cstheme="minorHAnsi"/>
          <w:i/>
          <w:color w:val="00000A"/>
          <w:highlight w:val="white"/>
          <w:lang w:val="fr-FR"/>
        </w:rPr>
        <w:t xml:space="preserve"> Psychologie, 62,</w:t>
      </w:r>
      <w:r w:rsidRPr="00A803EC">
        <w:rPr>
          <w:rFonts w:eastAsia="Century Schoolbook" w:cstheme="minorHAnsi"/>
          <w:color w:val="00000A"/>
          <w:highlight w:val="white"/>
          <w:lang w:val="fr-FR"/>
        </w:rPr>
        <w:t xml:space="preserve"> 25-32. </w:t>
      </w:r>
      <w:hyperlink r:id="rId25" w:history="1">
        <w:r w:rsidRPr="00A803EC">
          <w:rPr>
            <w:rStyle w:val="Hipervnculo"/>
            <w:rFonts w:eastAsia="Century Schoolbook" w:cstheme="minorHAnsi"/>
            <w:color w:val="00000A"/>
            <w:lang w:val="fr-FR"/>
          </w:rPr>
          <w:t>https://doi.org/</w:t>
        </w:r>
      </w:hyperlink>
      <w:r w:rsidRPr="00A803EC">
        <w:rPr>
          <w:rFonts w:eastAsia="Century Schoolbook" w:cstheme="minorHAnsi"/>
          <w:color w:val="00000A"/>
          <w:highlight w:val="white"/>
          <w:lang w:val="fr-FR"/>
        </w:rPr>
        <w:t>10.1055/s-0031-1295481</w:t>
      </w:r>
    </w:p>
    <w:p w14:paraId="6FEA12BB" w14:textId="5754CA45" w:rsidR="005B233C" w:rsidRDefault="005B233C" w:rsidP="00F75A4B">
      <w:pPr>
        <w:ind w:left="426" w:hanging="426"/>
        <w:rPr>
          <w:lang w:val="en-US"/>
        </w:rPr>
      </w:pPr>
      <w:proofErr w:type="spellStart"/>
      <w:r w:rsidRPr="00CD6EF6">
        <w:rPr>
          <w:lang w:val="en-US"/>
        </w:rPr>
        <w:t>Fabrigar</w:t>
      </w:r>
      <w:proofErr w:type="spellEnd"/>
      <w:r w:rsidRPr="00CD6EF6">
        <w:rPr>
          <w:lang w:val="en-US"/>
        </w:rPr>
        <w:t xml:space="preserve"> LR, Wegener DT, MacCallum RC., Strahan EJ. (1999). </w:t>
      </w:r>
      <w:r w:rsidRPr="005B233C">
        <w:rPr>
          <w:lang w:val="en-US"/>
        </w:rPr>
        <w:t>Evaluating the use of e</w:t>
      </w:r>
      <w:r>
        <w:rPr>
          <w:lang w:val="en-US"/>
        </w:rPr>
        <w:t xml:space="preserve">xploratory factor analysis in psychological research. </w:t>
      </w:r>
      <w:r w:rsidRPr="005B233C">
        <w:rPr>
          <w:i/>
          <w:lang w:val="en-US"/>
        </w:rPr>
        <w:t>Psychological Methods</w:t>
      </w:r>
      <w:r>
        <w:rPr>
          <w:lang w:val="en-US"/>
        </w:rPr>
        <w:t>. 4(3), 272-299.</w:t>
      </w:r>
    </w:p>
    <w:p w14:paraId="6AE0A676" w14:textId="2E5BF32A" w:rsidR="002519D8" w:rsidRPr="005B233C" w:rsidRDefault="002519D8" w:rsidP="00F75A4B">
      <w:pPr>
        <w:ind w:left="426" w:hanging="426"/>
        <w:rPr>
          <w:lang w:val="en-US"/>
        </w:rPr>
      </w:pPr>
      <w:r>
        <w:rPr>
          <w:lang w:val="en-US"/>
        </w:rPr>
        <w:t xml:space="preserve">Fawcett T. (2006). An introduction to ROC analysis. </w:t>
      </w:r>
      <w:r w:rsidRPr="002519D8">
        <w:rPr>
          <w:i/>
          <w:lang w:val="en-US"/>
        </w:rPr>
        <w:t>Pattern Recognition Letters</w:t>
      </w:r>
      <w:r>
        <w:rPr>
          <w:lang w:val="en-US"/>
        </w:rPr>
        <w:t>. 27, 861-874.</w:t>
      </w:r>
    </w:p>
    <w:p w14:paraId="17C5A142" w14:textId="489C2D34" w:rsidR="000C2016" w:rsidRPr="000C2016" w:rsidRDefault="000C2016" w:rsidP="00F75A4B">
      <w:pPr>
        <w:ind w:left="426" w:hanging="426"/>
        <w:rPr>
          <w:lang w:val="en-US"/>
        </w:rPr>
      </w:pPr>
      <w:r w:rsidRPr="002519D8">
        <w:rPr>
          <w:lang w:val="en-US"/>
        </w:rPr>
        <w:t xml:space="preserve">Floyd FJ. y </w:t>
      </w:r>
      <w:proofErr w:type="spellStart"/>
      <w:r w:rsidRPr="002519D8">
        <w:rPr>
          <w:lang w:val="en-US"/>
        </w:rPr>
        <w:t>Widaman</w:t>
      </w:r>
      <w:proofErr w:type="spellEnd"/>
      <w:r w:rsidRPr="002519D8">
        <w:rPr>
          <w:lang w:val="en-US"/>
        </w:rPr>
        <w:t xml:space="preserve"> KF. </w:t>
      </w:r>
      <w:r w:rsidRPr="000C2016">
        <w:rPr>
          <w:lang w:val="en-US"/>
        </w:rPr>
        <w:t>(1995). Factor analysis in</w:t>
      </w:r>
      <w:r>
        <w:rPr>
          <w:lang w:val="en-US"/>
        </w:rPr>
        <w:t xml:space="preserve"> the development and refinement of clinical assessment instruments. </w:t>
      </w:r>
      <w:r w:rsidRPr="000C2016">
        <w:rPr>
          <w:i/>
          <w:lang w:val="en-US"/>
        </w:rPr>
        <w:t>Psychological Assessment</w:t>
      </w:r>
      <w:r>
        <w:rPr>
          <w:lang w:val="en-US"/>
        </w:rPr>
        <w:t>. 7(3), 286-299.</w:t>
      </w:r>
    </w:p>
    <w:p w14:paraId="408DFCDB" w14:textId="77777777" w:rsidR="00F75A4B" w:rsidRDefault="00F75A4B" w:rsidP="00F75A4B">
      <w:pPr>
        <w:ind w:left="426" w:hanging="426"/>
        <w:rPr>
          <w:lang w:val="en-US"/>
        </w:rPr>
      </w:pPr>
      <w:r w:rsidRPr="000C2016">
        <w:rPr>
          <w:lang w:val="en-US"/>
        </w:rPr>
        <w:lastRenderedPageBreak/>
        <w:t xml:space="preserve">Fowler, W. &amp; Saturday, O. (2009). </w:t>
      </w:r>
      <w:r>
        <w:rPr>
          <w:lang w:val="en-US"/>
        </w:rPr>
        <w:t xml:space="preserve">Mental Health Parity. Lexington: The Council of State Governments. </w:t>
      </w:r>
    </w:p>
    <w:p w14:paraId="222A4496" w14:textId="77777777" w:rsidR="00F75A4B" w:rsidRDefault="00F75A4B" w:rsidP="00F75A4B">
      <w:pPr>
        <w:ind w:left="426" w:hanging="426"/>
        <w:rPr>
          <w:lang w:val="en-US"/>
        </w:rPr>
      </w:pPr>
      <w:r>
        <w:rPr>
          <w:lang w:val="en-US"/>
        </w:rPr>
        <w:t xml:space="preserve">Frank, R., Goldman, H. &amp; McGuire, T. (2001). Will parity in coverage result in better mental health care? </w:t>
      </w:r>
      <w:r>
        <w:rPr>
          <w:i/>
          <w:lang w:val="en-US"/>
        </w:rPr>
        <w:t xml:space="preserve">New England Journal of Medicine. </w:t>
      </w:r>
      <w:r>
        <w:rPr>
          <w:lang w:val="en-US"/>
        </w:rPr>
        <w:t>345 (23), 1701-4.</w:t>
      </w:r>
    </w:p>
    <w:p w14:paraId="4A95FEF7" w14:textId="77777777" w:rsidR="00F75A4B" w:rsidRDefault="00F75A4B" w:rsidP="00F75A4B">
      <w:pPr>
        <w:ind w:left="426" w:hanging="426"/>
        <w:rPr>
          <w:lang w:val="en-US"/>
        </w:rPr>
      </w:pPr>
      <w:r>
        <w:rPr>
          <w:lang w:val="en-US"/>
        </w:rPr>
        <w:t xml:space="preserve">García, R. (2010). Equity for all? Potential impact of the Mental Health Parity and Addiction Act of 2008. </w:t>
      </w:r>
      <w:r>
        <w:rPr>
          <w:i/>
          <w:lang w:val="en-US"/>
        </w:rPr>
        <w:t xml:space="preserve">Journal of Legal Medicine. </w:t>
      </w:r>
      <w:r>
        <w:rPr>
          <w:lang w:val="en-US"/>
        </w:rPr>
        <w:t>31 (1), 137-55.</w:t>
      </w:r>
    </w:p>
    <w:p w14:paraId="776326B7" w14:textId="77777777" w:rsidR="00F75A4B" w:rsidRDefault="00F75A4B" w:rsidP="00F75A4B">
      <w:pPr>
        <w:ind w:left="426" w:hanging="426"/>
        <w:rPr>
          <w:lang w:val="en-US"/>
        </w:rPr>
      </w:pPr>
      <w:r>
        <w:rPr>
          <w:lang w:val="en-US"/>
        </w:rPr>
        <w:t xml:space="preserve">Gibbons, R., </w:t>
      </w:r>
      <w:proofErr w:type="spellStart"/>
      <w:r>
        <w:rPr>
          <w:lang w:val="en-US"/>
        </w:rPr>
        <w:t>Bhaumik</w:t>
      </w:r>
      <w:proofErr w:type="spellEnd"/>
      <w:r>
        <w:rPr>
          <w:lang w:val="en-US"/>
        </w:rPr>
        <w:t xml:space="preserve">, D. &amp; Mann, J. (2005). The relationship between antidepressant medication use and rate of suicide. </w:t>
      </w:r>
      <w:r>
        <w:rPr>
          <w:i/>
          <w:lang w:val="en-US"/>
        </w:rPr>
        <w:t xml:space="preserve">Archives of General Psychiatry. </w:t>
      </w:r>
      <w:r>
        <w:rPr>
          <w:lang w:val="en-US"/>
        </w:rPr>
        <w:t>62, 165-72.</w:t>
      </w:r>
    </w:p>
    <w:p w14:paraId="31D12448" w14:textId="2C6E8927" w:rsidR="00F75A4B" w:rsidRDefault="00F75A4B" w:rsidP="00F75A4B">
      <w:pPr>
        <w:ind w:left="426" w:hanging="426"/>
        <w:rPr>
          <w:lang w:val="en-US"/>
        </w:rPr>
      </w:pPr>
      <w:r>
        <w:rPr>
          <w:lang w:val="en-US"/>
        </w:rPr>
        <w:t>HM Government, Department of Health. (2011). No health without mental health: A cross-government mental health outcomes strategy for people of all ages. London: HM Government.</w:t>
      </w:r>
    </w:p>
    <w:p w14:paraId="27906F24" w14:textId="18B448AD" w:rsidR="002519D8" w:rsidRPr="002519D8" w:rsidRDefault="002519D8" w:rsidP="00F75A4B">
      <w:pPr>
        <w:ind w:left="426" w:hanging="426"/>
        <w:rPr>
          <w:lang w:val="en-US"/>
        </w:rPr>
      </w:pPr>
      <w:r>
        <w:rPr>
          <w:lang w:val="en-US"/>
        </w:rPr>
        <w:t xml:space="preserve">Hu LT. y </w:t>
      </w:r>
      <w:proofErr w:type="spellStart"/>
      <w:r>
        <w:rPr>
          <w:lang w:val="en-US"/>
        </w:rPr>
        <w:t>Bentler</w:t>
      </w:r>
      <w:proofErr w:type="spellEnd"/>
      <w:r>
        <w:rPr>
          <w:lang w:val="en-US"/>
        </w:rPr>
        <w:t xml:space="preserve"> PM. (1999). Cutoff criteria for fit indexes in covariance structure analysis: Conventional criteria versus new alternatives. </w:t>
      </w:r>
      <w:r w:rsidRPr="002519D8">
        <w:rPr>
          <w:i/>
          <w:lang w:val="en-US"/>
        </w:rPr>
        <w:t>Structural Equation Modeling: A Multidisciplinary Journal.</w:t>
      </w:r>
      <w:r>
        <w:rPr>
          <w:i/>
          <w:lang w:val="en-US"/>
        </w:rPr>
        <w:t xml:space="preserve"> </w:t>
      </w:r>
      <w:r>
        <w:rPr>
          <w:lang w:val="en-US"/>
        </w:rPr>
        <w:t>6(1), 1-55.</w:t>
      </w:r>
    </w:p>
    <w:p w14:paraId="3F69A3EA" w14:textId="1C22C230" w:rsidR="00F75A4B" w:rsidRPr="00CD6EF6" w:rsidRDefault="00F75A4B" w:rsidP="00F75A4B">
      <w:pPr>
        <w:ind w:left="426" w:hanging="426"/>
        <w:rPr>
          <w:lang w:val="en-US"/>
        </w:rPr>
      </w:pPr>
      <w:r>
        <w:rPr>
          <w:lang w:val="en-US"/>
        </w:rPr>
        <w:t xml:space="preserve">Hu, T. (2006). Perspectives: an international review of the national cost estimates of mental illness, 1990-2003. </w:t>
      </w:r>
      <w:r w:rsidRPr="00CD6EF6">
        <w:rPr>
          <w:i/>
          <w:lang w:val="en-US"/>
        </w:rPr>
        <w:t xml:space="preserve">Jounal of Mental Health Policy. </w:t>
      </w:r>
      <w:r w:rsidRPr="00CD6EF6">
        <w:rPr>
          <w:lang w:val="en-US"/>
        </w:rPr>
        <w:t>9 (1), 3-13.</w:t>
      </w:r>
    </w:p>
    <w:p w14:paraId="7C805AA4" w14:textId="49DD449F" w:rsidR="008D6539" w:rsidRPr="00F75A4B" w:rsidRDefault="008D6539" w:rsidP="00F75A4B">
      <w:pPr>
        <w:ind w:left="426" w:hanging="426"/>
      </w:pPr>
      <w:r w:rsidRPr="00CD6EF6">
        <w:rPr>
          <w:lang w:val="en-US"/>
        </w:rPr>
        <w:t xml:space="preserve">Ibáñez I, Peñate W. y González M. (1997). </w:t>
      </w:r>
      <w:r>
        <w:t xml:space="preserve">La estructura factorial del Inventario de Depresión de Beck. </w:t>
      </w:r>
      <w:r w:rsidRPr="008D6539">
        <w:rPr>
          <w:i/>
        </w:rPr>
        <w:t>Psicología Conductual</w:t>
      </w:r>
      <w:r>
        <w:t xml:space="preserve">. 5(1), 71-91. </w:t>
      </w:r>
    </w:p>
    <w:p w14:paraId="52C225F8" w14:textId="77777777" w:rsidR="00F75A4B" w:rsidRPr="00CD6EF6" w:rsidRDefault="00F75A4B" w:rsidP="00F75A4B">
      <w:pPr>
        <w:ind w:left="426" w:hanging="426"/>
      </w:pPr>
      <w:r>
        <w:t xml:space="preserve">Inostroza M. (2013). Malas noticias para el plan AUGE. </w:t>
      </w:r>
      <w:r>
        <w:rPr>
          <w:i/>
        </w:rPr>
        <w:t xml:space="preserve">Revista Chilena de Cirugía. </w:t>
      </w:r>
      <w:r w:rsidRPr="00CD6EF6">
        <w:t xml:space="preserve">65 (4), 297-8. </w:t>
      </w:r>
    </w:p>
    <w:p w14:paraId="7D376C63" w14:textId="45680D21" w:rsidR="00F75A4B" w:rsidRPr="00CD6EF6" w:rsidRDefault="00F75A4B" w:rsidP="00F75A4B">
      <w:pPr>
        <w:ind w:left="426" w:hanging="426"/>
      </w:pPr>
      <w:r w:rsidRPr="00CD6EF6">
        <w:t xml:space="preserve">Insel, T. (2008). </w:t>
      </w:r>
      <w:r>
        <w:rPr>
          <w:lang w:val="en-US"/>
        </w:rPr>
        <w:t xml:space="preserve">Assessing the economic cost of serious mental illness. </w:t>
      </w:r>
      <w:r w:rsidRPr="00CD6EF6">
        <w:rPr>
          <w:i/>
        </w:rPr>
        <w:t xml:space="preserve">American Journal of Psychiatry. </w:t>
      </w:r>
      <w:r w:rsidRPr="00CD6EF6">
        <w:t>165 (6), 663-5.</w:t>
      </w:r>
    </w:p>
    <w:p w14:paraId="43CC8EB8" w14:textId="5BFB1719" w:rsidR="00287113" w:rsidRDefault="00287113" w:rsidP="00F75A4B">
      <w:pPr>
        <w:ind w:left="426" w:hanging="426"/>
      </w:pPr>
      <w:r w:rsidRPr="00287113">
        <w:t>Izquierdo A. (2011). Validación de la versi</w:t>
      </w:r>
      <w:r>
        <w:t>ó</w:t>
      </w:r>
      <w:r w:rsidRPr="00287113">
        <w:t xml:space="preserve">n </w:t>
      </w:r>
      <w:r>
        <w:t xml:space="preserve">española del BDI-FS: un instrumento para la detección de la depresión en atención primaria. Madrid: Facultad de Psicología, Universidad Complutense de Madrid. </w:t>
      </w:r>
    </w:p>
    <w:p w14:paraId="4AB1F3B2" w14:textId="72A6E3D4" w:rsidR="005B233C" w:rsidRPr="00CD6EF6" w:rsidRDefault="005B233C" w:rsidP="00F75A4B">
      <w:pPr>
        <w:ind w:left="426" w:hanging="426"/>
      </w:pPr>
      <w:r w:rsidRPr="00CD6EF6">
        <w:t xml:space="preserve">Jackson DL., Gillaspy JA. y Purc-Stephenson R. (2009). </w:t>
      </w:r>
      <w:r>
        <w:rPr>
          <w:lang w:val="en-US"/>
        </w:rPr>
        <w:t xml:space="preserve">Reporting practices in confirmatory factor analysis: an overview and some recommendations. </w:t>
      </w:r>
      <w:r w:rsidRPr="00CD6EF6">
        <w:rPr>
          <w:i/>
        </w:rPr>
        <w:t>Psychological Methods</w:t>
      </w:r>
      <w:r w:rsidRPr="00CD6EF6">
        <w:t xml:space="preserve">. 14(1), 6-23. </w:t>
      </w:r>
    </w:p>
    <w:p w14:paraId="077F33C1" w14:textId="556844C3" w:rsidR="001F4146" w:rsidRPr="00CD6EF6" w:rsidRDefault="001F4146" w:rsidP="00F75A4B">
      <w:pPr>
        <w:ind w:left="426" w:hanging="426"/>
        <w:rPr>
          <w:lang w:val="en-US"/>
        </w:rPr>
      </w:pPr>
      <w:r w:rsidRPr="001F4146">
        <w:t>Jurado S., Villegas ME., M</w:t>
      </w:r>
      <w:r>
        <w:t xml:space="preserve">éndez L., Rodríguez F., Lorena V. y Varela, R. La estandarización del Inventario de Depresión de Beck para los residentes de la Ciudad de México. </w:t>
      </w:r>
      <w:r w:rsidRPr="00CD6EF6">
        <w:rPr>
          <w:i/>
          <w:lang w:val="en-US"/>
        </w:rPr>
        <w:t>Salud Mental</w:t>
      </w:r>
      <w:r w:rsidRPr="00CD6EF6">
        <w:rPr>
          <w:lang w:val="en-US"/>
        </w:rPr>
        <w:t xml:space="preserve">. </w:t>
      </w:r>
      <w:r w:rsidR="008D6539" w:rsidRPr="00CD6EF6">
        <w:rPr>
          <w:lang w:val="en-US"/>
        </w:rPr>
        <w:t>21(3), 26-31.</w:t>
      </w:r>
    </w:p>
    <w:p w14:paraId="5246153D" w14:textId="0DBE462D" w:rsidR="00F75A4B" w:rsidRDefault="00F75A4B" w:rsidP="00F75A4B">
      <w:pPr>
        <w:ind w:left="426" w:hanging="426"/>
      </w:pPr>
      <w:r w:rsidRPr="005B233C">
        <w:rPr>
          <w:lang w:val="en-US"/>
        </w:rPr>
        <w:t xml:space="preserve">Knapp, M., McDaid, D., </w:t>
      </w:r>
      <w:proofErr w:type="spellStart"/>
      <w:r w:rsidRPr="005B233C">
        <w:rPr>
          <w:lang w:val="en-US"/>
        </w:rPr>
        <w:t>Mossialos</w:t>
      </w:r>
      <w:proofErr w:type="spellEnd"/>
      <w:r w:rsidRPr="005B233C">
        <w:rPr>
          <w:lang w:val="en-US"/>
        </w:rPr>
        <w:t xml:space="preserve">, E. &amp; Thornicroft, G. (2007). </w:t>
      </w:r>
      <w:r>
        <w:t>Salud mental en Europa: políticas y práctica: Líneas futuras en salud mental. España: Observatorio Europeo de Políticas y Sistemas Sanitarios.</w:t>
      </w:r>
    </w:p>
    <w:p w14:paraId="5796D7A8" w14:textId="3A69D6E2" w:rsidR="00A803EC" w:rsidRPr="00A803EC" w:rsidRDefault="00A803EC" w:rsidP="00A803EC">
      <w:pPr>
        <w:snapToGrid w:val="0"/>
        <w:ind w:left="357" w:hanging="357"/>
        <w:jc w:val="both"/>
        <w:rPr>
          <w:rFonts w:eastAsia="Century Schoolbook" w:cstheme="minorHAnsi"/>
          <w:color w:val="00000A"/>
          <w:lang w:val="en-US"/>
        </w:rPr>
      </w:pPr>
      <w:r w:rsidRPr="00A803EC">
        <w:rPr>
          <w:rFonts w:eastAsia="Century Schoolbook" w:cstheme="minorHAnsi"/>
          <w:color w:val="00000A"/>
          <w:lang w:val="en-US"/>
        </w:rPr>
        <w:lastRenderedPageBreak/>
        <w:t xml:space="preserve">Lambert, M. J., Hansen, N. B., </w:t>
      </w:r>
      <w:proofErr w:type="spellStart"/>
      <w:r w:rsidRPr="00A803EC">
        <w:rPr>
          <w:rFonts w:eastAsia="Century Schoolbook" w:cstheme="minorHAnsi"/>
          <w:color w:val="00000A"/>
          <w:lang w:val="en-US"/>
        </w:rPr>
        <w:t>Umpress</w:t>
      </w:r>
      <w:proofErr w:type="spellEnd"/>
      <w:r w:rsidRPr="00A803EC">
        <w:rPr>
          <w:rFonts w:eastAsia="Century Schoolbook" w:cstheme="minorHAnsi"/>
          <w:color w:val="00000A"/>
          <w:lang w:val="en-US"/>
        </w:rPr>
        <w:t xml:space="preserve">, V., </w:t>
      </w:r>
      <w:proofErr w:type="spellStart"/>
      <w:r w:rsidRPr="00A803EC">
        <w:rPr>
          <w:rFonts w:eastAsia="Century Schoolbook" w:cstheme="minorHAnsi"/>
          <w:color w:val="00000A"/>
          <w:lang w:val="en-US"/>
        </w:rPr>
        <w:t>Lunnen</w:t>
      </w:r>
      <w:proofErr w:type="spellEnd"/>
      <w:r w:rsidRPr="00A803EC">
        <w:rPr>
          <w:rFonts w:eastAsia="Century Schoolbook" w:cstheme="minorHAnsi"/>
          <w:color w:val="00000A"/>
          <w:lang w:val="en-US"/>
        </w:rPr>
        <w:t xml:space="preserve">, K., </w:t>
      </w:r>
      <w:proofErr w:type="spellStart"/>
      <w:r w:rsidRPr="00A803EC">
        <w:rPr>
          <w:rFonts w:eastAsia="Century Schoolbook" w:cstheme="minorHAnsi"/>
          <w:color w:val="00000A"/>
          <w:lang w:val="en-US"/>
        </w:rPr>
        <w:t>Okiishi</w:t>
      </w:r>
      <w:proofErr w:type="spellEnd"/>
      <w:r w:rsidRPr="00A803EC">
        <w:rPr>
          <w:rFonts w:eastAsia="Century Schoolbook" w:cstheme="minorHAnsi"/>
          <w:color w:val="00000A"/>
          <w:lang w:val="en-US"/>
        </w:rPr>
        <w:t xml:space="preserve">, J., Burlingame, G. M. … </w:t>
      </w:r>
      <w:r w:rsidRPr="00A803EC">
        <w:rPr>
          <w:rFonts w:cstheme="minorHAnsi"/>
          <w:color w:val="00000A"/>
          <w:lang w:val="en-US"/>
        </w:rPr>
        <w:t xml:space="preserve">Reisinger, C. W. </w:t>
      </w:r>
      <w:r w:rsidRPr="00A803EC">
        <w:rPr>
          <w:rFonts w:eastAsia="Century Schoolbook" w:cstheme="minorHAnsi"/>
          <w:color w:val="00000A"/>
          <w:lang w:val="en-US"/>
        </w:rPr>
        <w:t xml:space="preserve">(1996). </w:t>
      </w:r>
      <w:r w:rsidRPr="00A803EC">
        <w:rPr>
          <w:rFonts w:eastAsia="Century Schoolbook" w:cstheme="minorHAnsi"/>
          <w:i/>
          <w:color w:val="00000A"/>
          <w:lang w:val="en-US"/>
        </w:rPr>
        <w:t>Administration and scoring manual for the</w:t>
      </w:r>
      <w:r w:rsidRPr="00A803EC">
        <w:rPr>
          <w:rFonts w:cstheme="minorHAnsi"/>
          <w:i/>
          <w:color w:val="00000A"/>
          <w:lang w:val="en-US"/>
        </w:rPr>
        <w:t xml:space="preserve"> Outcome Questionnaire</w:t>
      </w:r>
      <w:r w:rsidRPr="00A803EC">
        <w:rPr>
          <w:rFonts w:eastAsia="Century Schoolbook" w:cstheme="minorHAnsi"/>
          <w:i/>
          <w:color w:val="00000A"/>
          <w:lang w:val="en-US"/>
        </w:rPr>
        <w:t xml:space="preserve"> (OQ-45.2)</w:t>
      </w:r>
      <w:r w:rsidRPr="00A803EC">
        <w:rPr>
          <w:rFonts w:eastAsia="Century Schoolbook" w:cstheme="minorHAnsi"/>
          <w:color w:val="00000A"/>
          <w:lang w:val="en-US"/>
        </w:rPr>
        <w:t>. Wilmington, DE: American Professional Credentialing Services.</w:t>
      </w:r>
    </w:p>
    <w:p w14:paraId="65A9A7FD" w14:textId="1276B2B5" w:rsidR="00F75A4B" w:rsidRPr="00CD6EF6" w:rsidRDefault="00F75A4B" w:rsidP="00F75A4B">
      <w:pPr>
        <w:ind w:left="426" w:hanging="426"/>
      </w:pPr>
      <w:r>
        <w:t xml:space="preserve">Lund, C., De Silva, M., </w:t>
      </w:r>
      <w:proofErr w:type="spellStart"/>
      <w:r>
        <w:t>Plagerson</w:t>
      </w:r>
      <w:proofErr w:type="spellEnd"/>
      <w:r>
        <w:t xml:space="preserve">, S., Cooper, S., Chisholm, D., Das, J. et al. </w:t>
      </w:r>
      <w:r>
        <w:rPr>
          <w:lang w:val="en-US"/>
        </w:rPr>
        <w:t xml:space="preserve">(2011) Poverty and mental disorders: breaking the cycle in low-income and middle-income countries. </w:t>
      </w:r>
      <w:r>
        <w:rPr>
          <w:i/>
        </w:rPr>
        <w:t xml:space="preserve">Lancet. </w:t>
      </w:r>
      <w:r w:rsidRPr="00CD6EF6">
        <w:t>378 (9801), 1502-14.</w:t>
      </w:r>
    </w:p>
    <w:p w14:paraId="6EB29607" w14:textId="2B5F2962" w:rsidR="00287113" w:rsidRPr="00287113" w:rsidRDefault="00287113" w:rsidP="00F75A4B">
      <w:pPr>
        <w:ind w:left="426" w:hanging="426"/>
      </w:pPr>
      <w:r w:rsidRPr="00287113">
        <w:t>Martínez V., R</w:t>
      </w:r>
      <w:r>
        <w:t xml:space="preserve">ojas G. y Fritsch R. (2008). Programas de prevención de la depresión en adolescentes en el sistema escolar: Una revisión de la literatura. </w:t>
      </w:r>
      <w:r w:rsidRPr="00287113">
        <w:rPr>
          <w:i/>
        </w:rPr>
        <w:t>Revista Gaceta de Psiquiatría Universitaria</w:t>
      </w:r>
      <w:r>
        <w:t>. 4(2), 206-2013.</w:t>
      </w:r>
    </w:p>
    <w:p w14:paraId="389E8527" w14:textId="77777777" w:rsidR="00F75A4B" w:rsidRPr="00CD6EF6" w:rsidRDefault="00F75A4B" w:rsidP="00F75A4B">
      <w:pPr>
        <w:ind w:left="426" w:hanging="426"/>
      </w:pPr>
      <w:proofErr w:type="spellStart"/>
      <w:r w:rsidRPr="00287113">
        <w:t>Mezuk</w:t>
      </w:r>
      <w:proofErr w:type="spellEnd"/>
      <w:r w:rsidRPr="00287113">
        <w:t xml:space="preserve">, B., Eaton, W., Albrecht, S. &amp; Golden, S. (2008). </w:t>
      </w:r>
      <w:r>
        <w:rPr>
          <w:lang w:val="en-US"/>
        </w:rPr>
        <w:t xml:space="preserve">Depression and type 2 diabetes over the lifespan: a meta-analysis. </w:t>
      </w:r>
      <w:r w:rsidRPr="00CD6EF6">
        <w:rPr>
          <w:i/>
        </w:rPr>
        <w:t xml:space="preserve">Diabetes Care. </w:t>
      </w:r>
      <w:r w:rsidRPr="00CD6EF6">
        <w:t>31 (12), 2383-90.</w:t>
      </w:r>
    </w:p>
    <w:p w14:paraId="346706C1" w14:textId="77777777" w:rsidR="00F75A4B" w:rsidRDefault="00F75A4B" w:rsidP="00F75A4B">
      <w:pPr>
        <w:ind w:left="426" w:hanging="426"/>
      </w:pPr>
      <w:proofErr w:type="spellStart"/>
      <w:r>
        <w:t>Mihalopoulos</w:t>
      </w:r>
      <w:proofErr w:type="spellEnd"/>
      <w:r>
        <w:t xml:space="preserve">, C., Vos, T., </w:t>
      </w:r>
      <w:proofErr w:type="spellStart"/>
      <w:r>
        <w:t>Pirkis</w:t>
      </w:r>
      <w:proofErr w:type="spellEnd"/>
      <w:r>
        <w:t xml:space="preserve">, J. &amp; Carter, R. (2011). </w:t>
      </w:r>
      <w:r>
        <w:rPr>
          <w:lang w:val="en-US"/>
        </w:rPr>
        <w:t xml:space="preserve">The economic analysis of prevention in mental health programs. </w:t>
      </w:r>
      <w:proofErr w:type="spellStart"/>
      <w:r>
        <w:rPr>
          <w:i/>
        </w:rPr>
        <w:t>Annual</w:t>
      </w:r>
      <w:proofErr w:type="spellEnd"/>
      <w:r>
        <w:rPr>
          <w:i/>
        </w:rPr>
        <w:t xml:space="preserve"> </w:t>
      </w:r>
      <w:proofErr w:type="spellStart"/>
      <w:r>
        <w:rPr>
          <w:i/>
        </w:rPr>
        <w:t>Reviews</w:t>
      </w:r>
      <w:proofErr w:type="spellEnd"/>
      <w:r>
        <w:rPr>
          <w:i/>
        </w:rPr>
        <w:t xml:space="preserve"> </w:t>
      </w:r>
      <w:proofErr w:type="spellStart"/>
      <w:r>
        <w:rPr>
          <w:i/>
        </w:rPr>
        <w:t>of</w:t>
      </w:r>
      <w:proofErr w:type="spellEnd"/>
      <w:r>
        <w:rPr>
          <w:i/>
        </w:rPr>
        <w:t xml:space="preserve"> </w:t>
      </w:r>
      <w:proofErr w:type="spellStart"/>
      <w:r>
        <w:rPr>
          <w:i/>
        </w:rPr>
        <w:t>Clinical</w:t>
      </w:r>
      <w:proofErr w:type="spellEnd"/>
      <w:r>
        <w:rPr>
          <w:i/>
        </w:rPr>
        <w:t xml:space="preserve"> </w:t>
      </w:r>
      <w:proofErr w:type="spellStart"/>
      <w:r>
        <w:rPr>
          <w:i/>
        </w:rPr>
        <w:t>Psychology</w:t>
      </w:r>
      <w:proofErr w:type="spellEnd"/>
      <w:r>
        <w:rPr>
          <w:i/>
        </w:rPr>
        <w:t xml:space="preserve">. </w:t>
      </w:r>
      <w:r>
        <w:t>7: 169-201.</w:t>
      </w:r>
    </w:p>
    <w:p w14:paraId="6F7AEEEE" w14:textId="77777777" w:rsidR="00F75A4B" w:rsidRDefault="00F75A4B" w:rsidP="00F75A4B">
      <w:pPr>
        <w:ind w:left="426" w:hanging="426"/>
      </w:pPr>
      <w:r>
        <w:t xml:space="preserve">Ministerio de Salud de Chile – MINSAL. (2000). Plan Nacional de Salud Mental y Psiquiatría. Santiago: MINSAL. </w:t>
      </w:r>
    </w:p>
    <w:p w14:paraId="5A2D11FA" w14:textId="77777777" w:rsidR="00F75A4B" w:rsidRDefault="00F75A4B" w:rsidP="00F75A4B">
      <w:pPr>
        <w:ind w:left="426" w:hanging="426"/>
      </w:pPr>
      <w:r>
        <w:t>Ministerio de Salud de Chile – MINSAL. (2004). Encuesta Nacional de Salud 2003. Santiago: MINSAL.</w:t>
      </w:r>
    </w:p>
    <w:p w14:paraId="0E1784DB" w14:textId="77777777" w:rsidR="00F75A4B" w:rsidRDefault="00F75A4B" w:rsidP="00F75A4B">
      <w:pPr>
        <w:ind w:left="426" w:hanging="426"/>
      </w:pPr>
      <w:r>
        <w:t xml:space="preserve">Ministerio de Salud de Chile - MINSAL. (2007). Informe final. Estudio de carga por enfermedad y carga atribuible. Santiago: MINSAL. </w:t>
      </w:r>
    </w:p>
    <w:p w14:paraId="375081A7" w14:textId="77777777" w:rsidR="00F75A4B" w:rsidRDefault="00F75A4B" w:rsidP="00F75A4B">
      <w:pPr>
        <w:ind w:left="426" w:hanging="426"/>
      </w:pPr>
      <w:r>
        <w:t>Ministerio de Salud (MINSAL). (2011a) Diseño e implementación de una metodología de evaluación, seguimiento y acompañamiento de la reforma de la salud de Chile.</w:t>
      </w:r>
    </w:p>
    <w:p w14:paraId="268AB112" w14:textId="77777777" w:rsidR="00F75A4B" w:rsidRDefault="00F75A4B" w:rsidP="00F75A4B">
      <w:pPr>
        <w:ind w:left="426" w:hanging="426"/>
      </w:pPr>
      <w:r>
        <w:t>Ministerio de Salud de Chile – MINSAL. (2011b). Resultados Encuesta Nacional de Salud 2009-2010. Santiago: MINSAL.</w:t>
      </w:r>
    </w:p>
    <w:p w14:paraId="31B7CB5E" w14:textId="77777777" w:rsidR="00F75A4B" w:rsidRDefault="00F75A4B" w:rsidP="00F75A4B">
      <w:pPr>
        <w:ind w:left="426" w:hanging="426"/>
      </w:pPr>
      <w:r>
        <w:t>Ministerio de Salud de Chile – MINSAL. (2013). Guía Clínica Auge: Depresión en personas de 15 años y más. Santiago: MINSAL.</w:t>
      </w:r>
    </w:p>
    <w:p w14:paraId="7301A817" w14:textId="77777777" w:rsidR="00F75A4B" w:rsidRDefault="00F75A4B" w:rsidP="00F75A4B">
      <w:pPr>
        <w:ind w:left="426" w:hanging="426"/>
      </w:pPr>
      <w:r>
        <w:t xml:space="preserve">Ministerio de Salud de Chile – MINSAL (2017a). Plan Nacional de Salud Mental 2017 - 2025. Santiago: MINSAL. </w:t>
      </w:r>
    </w:p>
    <w:p w14:paraId="219A7D7B" w14:textId="77777777" w:rsidR="00F75A4B" w:rsidRDefault="00F75A4B" w:rsidP="00F75A4B">
      <w:pPr>
        <w:ind w:left="426" w:hanging="426"/>
      </w:pPr>
      <w:r>
        <w:t xml:space="preserve">Ministerio de Salud de Chile – MINSAL (2017b). Guía Clínica AUGE: Depresión en personas de 15 años y más. Santiago: MINSAL. </w:t>
      </w:r>
    </w:p>
    <w:p w14:paraId="4D0B3BA1" w14:textId="6EA11DC6" w:rsidR="00F75A4B" w:rsidRPr="00CD6EF6" w:rsidRDefault="00F75A4B" w:rsidP="00270B01">
      <w:pPr>
        <w:ind w:left="426" w:hanging="426"/>
      </w:pPr>
      <w:r>
        <w:t xml:space="preserve">Minoletti, A. &amp; </w:t>
      </w:r>
      <w:proofErr w:type="spellStart"/>
      <w:r>
        <w:t>Zaccaria</w:t>
      </w:r>
      <w:proofErr w:type="spellEnd"/>
      <w:r>
        <w:t xml:space="preserve">, A. (2011) Plan Nacional de Salud Mental en Chile: 10 años de experiencia. </w:t>
      </w:r>
      <w:r w:rsidRPr="00CD6EF6">
        <w:rPr>
          <w:i/>
        </w:rPr>
        <w:t xml:space="preserve">Revisa Panamericana de Salud Pública. </w:t>
      </w:r>
      <w:r w:rsidRPr="00CD6EF6">
        <w:t>18 (4/5), 346-58.</w:t>
      </w:r>
    </w:p>
    <w:p w14:paraId="36002FE3" w14:textId="71908E98" w:rsidR="001F4146" w:rsidRPr="001F4146" w:rsidRDefault="001F4146" w:rsidP="00270B01">
      <w:pPr>
        <w:ind w:left="426" w:hanging="426"/>
      </w:pPr>
      <w:proofErr w:type="spellStart"/>
      <w:r w:rsidRPr="001F4146">
        <w:t>Muthén</w:t>
      </w:r>
      <w:proofErr w:type="spellEnd"/>
      <w:r w:rsidRPr="001F4146">
        <w:t xml:space="preserve"> LK. y </w:t>
      </w:r>
      <w:proofErr w:type="spellStart"/>
      <w:r w:rsidRPr="001F4146">
        <w:t>Muthén</w:t>
      </w:r>
      <w:proofErr w:type="spellEnd"/>
      <w:r w:rsidRPr="001F4146">
        <w:t xml:space="preserve"> BO. </w:t>
      </w:r>
      <w:r w:rsidRPr="00CD6EF6">
        <w:t xml:space="preserve">(2012). Mplus Users’s Guide. [7° ed]. </w:t>
      </w:r>
      <w:r w:rsidRPr="001F4146">
        <w:t xml:space="preserve">Los </w:t>
      </w:r>
      <w:proofErr w:type="spellStart"/>
      <w:r w:rsidRPr="001F4146">
        <w:t>Angeles</w:t>
      </w:r>
      <w:proofErr w:type="spellEnd"/>
      <w:r w:rsidRPr="001F4146">
        <w:t xml:space="preserve">, USA: </w:t>
      </w:r>
      <w:proofErr w:type="spellStart"/>
      <w:r w:rsidRPr="001F4146">
        <w:t>Muthén</w:t>
      </w:r>
      <w:proofErr w:type="spellEnd"/>
      <w:r w:rsidRPr="001F4146">
        <w:t xml:space="preserve"> &amp; </w:t>
      </w:r>
      <w:proofErr w:type="spellStart"/>
      <w:r w:rsidRPr="001F4146">
        <w:t>M</w:t>
      </w:r>
      <w:r>
        <w:t>uthén</w:t>
      </w:r>
      <w:proofErr w:type="spellEnd"/>
      <w:r>
        <w:t xml:space="preserve">. </w:t>
      </w:r>
    </w:p>
    <w:p w14:paraId="42FB6415" w14:textId="636B8C22" w:rsidR="00F75A4B" w:rsidRPr="00CD6EF6" w:rsidRDefault="00F75A4B" w:rsidP="00F75A4B">
      <w:pPr>
        <w:ind w:left="426" w:hanging="426"/>
        <w:rPr>
          <w:lang w:val="en-US"/>
        </w:rPr>
      </w:pPr>
      <w:r>
        <w:rPr>
          <w:lang w:val="en-US"/>
        </w:rPr>
        <w:lastRenderedPageBreak/>
        <w:t xml:space="preserve">National </w:t>
      </w:r>
      <w:proofErr w:type="spellStart"/>
      <w:r>
        <w:rPr>
          <w:lang w:val="en-US"/>
        </w:rPr>
        <w:t>Bussiness</w:t>
      </w:r>
      <w:proofErr w:type="spellEnd"/>
      <w:r>
        <w:rPr>
          <w:lang w:val="en-US"/>
        </w:rPr>
        <w:t xml:space="preserve"> Group on Health. (2005). An Employer’s guide to behavioral health services. </w:t>
      </w:r>
      <w:r w:rsidRPr="00CD6EF6">
        <w:rPr>
          <w:lang w:val="en-US"/>
        </w:rPr>
        <w:t>Washington, DC: Center for Prevention and Health Services.</w:t>
      </w:r>
    </w:p>
    <w:p w14:paraId="2FEBD815" w14:textId="1B425D1E" w:rsidR="005B233C" w:rsidRPr="005B233C" w:rsidRDefault="005B233C" w:rsidP="00F75A4B">
      <w:pPr>
        <w:ind w:left="426" w:hanging="426"/>
        <w:rPr>
          <w:lang w:val="en-US"/>
        </w:rPr>
      </w:pPr>
      <w:r w:rsidRPr="005B233C">
        <w:rPr>
          <w:lang w:val="en-US"/>
        </w:rPr>
        <w:t>O’Connor BP. (2000). SPSS and SAS programs for determin</w:t>
      </w:r>
      <w:r>
        <w:rPr>
          <w:lang w:val="en-US"/>
        </w:rPr>
        <w:t xml:space="preserve">ing the number of components using parallel analysis and </w:t>
      </w:r>
      <w:proofErr w:type="spellStart"/>
      <w:r>
        <w:rPr>
          <w:lang w:val="en-US"/>
        </w:rPr>
        <w:t>Velicer’s</w:t>
      </w:r>
      <w:proofErr w:type="spellEnd"/>
      <w:r>
        <w:rPr>
          <w:lang w:val="en-US"/>
        </w:rPr>
        <w:t xml:space="preserve"> MAP test. </w:t>
      </w:r>
      <w:r w:rsidRPr="005B233C">
        <w:rPr>
          <w:i/>
          <w:lang w:val="en-US"/>
        </w:rPr>
        <w:t>Behavioral Research Methods Instrument</w:t>
      </w:r>
      <w:r>
        <w:rPr>
          <w:i/>
          <w:lang w:val="en-US"/>
        </w:rPr>
        <w:t>s &amp;</w:t>
      </w:r>
      <w:r w:rsidRPr="005B233C">
        <w:rPr>
          <w:i/>
          <w:lang w:val="en-US"/>
        </w:rPr>
        <w:t xml:space="preserve"> </w:t>
      </w:r>
      <w:proofErr w:type="spellStart"/>
      <w:r w:rsidRPr="005B233C">
        <w:rPr>
          <w:i/>
          <w:lang w:val="en-US"/>
        </w:rPr>
        <w:t>Computat</w:t>
      </w:r>
      <w:r>
        <w:rPr>
          <w:i/>
          <w:lang w:val="en-US"/>
        </w:rPr>
        <w:t>ers</w:t>
      </w:r>
      <w:proofErr w:type="spellEnd"/>
      <w:r>
        <w:rPr>
          <w:lang w:val="en-US"/>
        </w:rPr>
        <w:t>. 32 (3), 396-402.</w:t>
      </w:r>
    </w:p>
    <w:p w14:paraId="413B563E" w14:textId="77777777" w:rsidR="00F75A4B" w:rsidRDefault="00F75A4B" w:rsidP="00F75A4B">
      <w:pPr>
        <w:ind w:left="426" w:hanging="426"/>
      </w:pPr>
      <w:r>
        <w:t xml:space="preserve">Organización Mundial de la Salud y Ministerio de </w:t>
      </w:r>
      <w:proofErr w:type="gramStart"/>
      <w:r>
        <w:t>Salud  -</w:t>
      </w:r>
      <w:proofErr w:type="gramEnd"/>
      <w:r>
        <w:t xml:space="preserve"> OMS Y MINSAL. (2006). Informe WHO-AIMS sobre el sistema de salud mental en Chile. Santiago: OMS-MINSAL. </w:t>
      </w:r>
    </w:p>
    <w:p w14:paraId="1C684F7C" w14:textId="77777777" w:rsidR="00F75A4B" w:rsidRPr="00F75A4B" w:rsidRDefault="00F75A4B" w:rsidP="00F75A4B">
      <w:pPr>
        <w:ind w:left="426" w:hanging="426"/>
        <w:rPr>
          <w:lang w:val="en-US"/>
        </w:rPr>
      </w:pPr>
      <w:r>
        <w:t xml:space="preserve">Organización Mundial de la Salud y Ministerio de </w:t>
      </w:r>
      <w:proofErr w:type="gramStart"/>
      <w:r>
        <w:t>Salud  -</w:t>
      </w:r>
      <w:proofErr w:type="gramEnd"/>
      <w:r>
        <w:t xml:space="preserve"> OMS Y MINSAL. (2012). Informe WHO-AIMS sobre el sistema de salud mental en Chile. </w:t>
      </w:r>
      <w:r w:rsidRPr="00F75A4B">
        <w:rPr>
          <w:lang w:val="en-US"/>
        </w:rPr>
        <w:t xml:space="preserve">Segundo Informe. Santiago: OMS-MINSAL. </w:t>
      </w:r>
    </w:p>
    <w:p w14:paraId="68BDFC0C" w14:textId="77777777" w:rsidR="00F75A4B" w:rsidRDefault="00F75A4B" w:rsidP="00F75A4B">
      <w:pPr>
        <w:ind w:left="426" w:hanging="426"/>
        <w:rPr>
          <w:lang w:val="en-US"/>
        </w:rPr>
      </w:pPr>
      <w:proofErr w:type="spellStart"/>
      <w:r>
        <w:rPr>
          <w:lang w:val="en-US"/>
        </w:rPr>
        <w:t>Organisation</w:t>
      </w:r>
      <w:proofErr w:type="spellEnd"/>
      <w:r>
        <w:rPr>
          <w:lang w:val="en-US"/>
        </w:rPr>
        <w:t xml:space="preserve"> for Economic Co-operation and Development - OECD. (2008). Policy brief: Mental health in OECD countries. Paris: OCDE.</w:t>
      </w:r>
    </w:p>
    <w:p w14:paraId="5B7B3472" w14:textId="77777777" w:rsidR="00F75A4B" w:rsidRDefault="00F75A4B" w:rsidP="00F75A4B">
      <w:pPr>
        <w:ind w:left="426" w:hanging="426"/>
        <w:rPr>
          <w:lang w:val="en-US"/>
        </w:rPr>
      </w:pPr>
      <w:proofErr w:type="spellStart"/>
      <w:r>
        <w:rPr>
          <w:lang w:val="en-US"/>
        </w:rPr>
        <w:t>Organisation</w:t>
      </w:r>
      <w:proofErr w:type="spellEnd"/>
      <w:r>
        <w:rPr>
          <w:lang w:val="en-US"/>
        </w:rPr>
        <w:t xml:space="preserve"> for Economic Co-operation and Development – OECD. (2011). Health at a glance: OECD indicators. Paris: OECD. </w:t>
      </w:r>
    </w:p>
    <w:p w14:paraId="2097DC52" w14:textId="77777777" w:rsidR="00F75A4B" w:rsidRPr="00F75A4B" w:rsidRDefault="00F75A4B" w:rsidP="00F75A4B">
      <w:pPr>
        <w:ind w:left="426" w:hanging="426"/>
        <w:rPr>
          <w:lang w:val="en-US"/>
        </w:rPr>
      </w:pPr>
      <w:proofErr w:type="spellStart"/>
      <w:r>
        <w:rPr>
          <w:lang w:val="en-US"/>
        </w:rPr>
        <w:t>O</w:t>
      </w:r>
      <w:bookmarkStart w:id="7" w:name="_GoBack"/>
      <w:bookmarkEnd w:id="7"/>
      <w:r>
        <w:rPr>
          <w:lang w:val="en-US"/>
        </w:rPr>
        <w:t>rganisation</w:t>
      </w:r>
      <w:proofErr w:type="spellEnd"/>
      <w:r>
        <w:rPr>
          <w:lang w:val="en-US"/>
        </w:rPr>
        <w:t xml:space="preserve"> for Economic Co-operation and Development - OECD. (2013). Country statistical profile: Chile. Paris: OECD. </w:t>
      </w:r>
    </w:p>
    <w:p w14:paraId="7CEC06A2" w14:textId="77777777" w:rsidR="00F75A4B" w:rsidRDefault="00F75A4B" w:rsidP="00F75A4B">
      <w:pPr>
        <w:ind w:left="426" w:hanging="426"/>
        <w:rPr>
          <w:i/>
        </w:rPr>
      </w:pPr>
      <w:r>
        <w:t xml:space="preserve">Organización Mundial de la Salud - OMS. (2013). Proyecto de plan de acción integral sobre Salud Mental 2013-2020. (2013). </w:t>
      </w:r>
      <w:r>
        <w:rPr>
          <w:i/>
        </w:rPr>
        <w:t>66° Asamblea Mundial de la Salud.</w:t>
      </w:r>
    </w:p>
    <w:p w14:paraId="05C774AF" w14:textId="041CDEC0" w:rsidR="00F75A4B" w:rsidRPr="00CD6EF6" w:rsidRDefault="00F75A4B" w:rsidP="00F75A4B">
      <w:pPr>
        <w:ind w:left="426" w:hanging="426"/>
        <w:rPr>
          <w:i/>
          <w:lang w:val="en-US"/>
        </w:rPr>
      </w:pPr>
      <w:r>
        <w:t xml:space="preserve">Paleo, D. (2013). Cómo y cuándo usar la cobertura catastrófica adicional de la Isapre. </w:t>
      </w:r>
      <w:r w:rsidRPr="00CD6EF6">
        <w:rPr>
          <w:i/>
          <w:lang w:val="en-US"/>
        </w:rPr>
        <w:t>El Mercurio, Sección B.</w:t>
      </w:r>
    </w:p>
    <w:p w14:paraId="629A0E97" w14:textId="7A09BFC6" w:rsidR="002519D8" w:rsidRPr="00CD6EF6" w:rsidRDefault="002519D8" w:rsidP="00F75A4B">
      <w:pPr>
        <w:ind w:left="426" w:hanging="426"/>
      </w:pPr>
      <w:r w:rsidRPr="002519D8">
        <w:rPr>
          <w:lang w:val="en-US"/>
        </w:rPr>
        <w:t xml:space="preserve">Perkins NJ y </w:t>
      </w:r>
      <w:proofErr w:type="spellStart"/>
      <w:r w:rsidRPr="002519D8">
        <w:rPr>
          <w:lang w:val="en-US"/>
        </w:rPr>
        <w:t>Schisterman</w:t>
      </w:r>
      <w:proofErr w:type="spellEnd"/>
      <w:r w:rsidRPr="002519D8">
        <w:rPr>
          <w:lang w:val="en-US"/>
        </w:rPr>
        <w:t xml:space="preserve"> EF</w:t>
      </w:r>
      <w:r>
        <w:rPr>
          <w:lang w:val="en-US"/>
        </w:rPr>
        <w:t xml:space="preserve">. (2006). The inconsistency of “optimal” </w:t>
      </w:r>
      <w:proofErr w:type="spellStart"/>
      <w:r>
        <w:rPr>
          <w:lang w:val="en-US"/>
        </w:rPr>
        <w:t>cutpoints</w:t>
      </w:r>
      <w:proofErr w:type="spellEnd"/>
      <w:r>
        <w:rPr>
          <w:lang w:val="en-US"/>
        </w:rPr>
        <w:t xml:space="preserve"> using two criteria based on the Receiver Operating Characteristic curve. </w:t>
      </w:r>
      <w:r w:rsidRPr="00CD6EF6">
        <w:rPr>
          <w:i/>
        </w:rPr>
        <w:t>American Journal of Epidemiology</w:t>
      </w:r>
      <w:r w:rsidRPr="00CD6EF6">
        <w:t>. 163 (7): 670-675.</w:t>
      </w:r>
    </w:p>
    <w:p w14:paraId="2CC10635" w14:textId="630EFDE6" w:rsidR="000C2016" w:rsidRPr="00CD6EF6" w:rsidRDefault="000C2016" w:rsidP="00F75A4B">
      <w:pPr>
        <w:ind w:left="426" w:hanging="426"/>
        <w:rPr>
          <w:lang w:val="en-US"/>
        </w:rPr>
      </w:pPr>
      <w:r>
        <w:t xml:space="preserve">Posada MC. (2005). Investigación psicométrica del Inventario de Depresión de Beck. Datos normativos en la ciudad de Mar del Plata. </w:t>
      </w:r>
      <w:r w:rsidRPr="000C2016">
        <w:rPr>
          <w:i/>
        </w:rPr>
        <w:t>Perspectivas psicológicas.</w:t>
      </w:r>
      <w:r>
        <w:t xml:space="preserve"> </w:t>
      </w:r>
      <w:r w:rsidRPr="00CD6EF6">
        <w:rPr>
          <w:lang w:val="en-US"/>
        </w:rPr>
        <w:t>2(1), 58-63.</w:t>
      </w:r>
    </w:p>
    <w:p w14:paraId="512F3AD8" w14:textId="33E2943E" w:rsidR="002519D8" w:rsidRPr="002519D8" w:rsidRDefault="002519D8" w:rsidP="00F75A4B">
      <w:pPr>
        <w:ind w:left="426" w:hanging="426"/>
      </w:pPr>
      <w:r w:rsidRPr="00CD6EF6">
        <w:rPr>
          <w:lang w:val="en-US"/>
        </w:rPr>
        <w:t xml:space="preserve">R Development Core Team. (2014). </w:t>
      </w:r>
      <w:r w:rsidRPr="002519D8">
        <w:rPr>
          <w:lang w:val="en-US"/>
        </w:rPr>
        <w:t xml:space="preserve">A language and </w:t>
      </w:r>
      <w:proofErr w:type="spellStart"/>
      <w:r w:rsidRPr="002519D8">
        <w:rPr>
          <w:lang w:val="en-US"/>
        </w:rPr>
        <w:t>envioronment</w:t>
      </w:r>
      <w:proofErr w:type="spellEnd"/>
      <w:r w:rsidRPr="002519D8">
        <w:rPr>
          <w:lang w:val="en-US"/>
        </w:rPr>
        <w:t xml:space="preserve"> f</w:t>
      </w:r>
      <w:r>
        <w:rPr>
          <w:lang w:val="en-US"/>
        </w:rPr>
        <w:t xml:space="preserve">or statistical computing. </w:t>
      </w:r>
      <w:r w:rsidRPr="002519D8">
        <w:t>Viena:</w:t>
      </w:r>
      <w:r>
        <w:t xml:space="preserve"> R </w:t>
      </w:r>
      <w:proofErr w:type="spellStart"/>
      <w:r>
        <w:t>Foundation</w:t>
      </w:r>
      <w:proofErr w:type="spellEnd"/>
      <w:r>
        <w:t xml:space="preserve"> </w:t>
      </w:r>
      <w:proofErr w:type="spellStart"/>
      <w:r>
        <w:t>for</w:t>
      </w:r>
      <w:proofErr w:type="spellEnd"/>
      <w:r>
        <w:t xml:space="preserve"> </w:t>
      </w:r>
      <w:proofErr w:type="spellStart"/>
      <w:r>
        <w:t>Statistical</w:t>
      </w:r>
      <w:proofErr w:type="spellEnd"/>
      <w:r>
        <w:t xml:space="preserve"> </w:t>
      </w:r>
      <w:r w:rsidR="001F4146">
        <w:t xml:space="preserve">Computing. </w:t>
      </w:r>
    </w:p>
    <w:p w14:paraId="4FD40C8E" w14:textId="165DDFF9" w:rsidR="00F75A4B" w:rsidRPr="00CD6EF6" w:rsidRDefault="00F75A4B" w:rsidP="00F75A4B">
      <w:pPr>
        <w:ind w:left="426" w:hanging="426"/>
        <w:rPr>
          <w:lang w:val="en-US"/>
        </w:rPr>
      </w:pPr>
      <w:r>
        <w:t xml:space="preserve">Retamal, P., Luego, J &amp; </w:t>
      </w:r>
      <w:proofErr w:type="spellStart"/>
      <w:r>
        <w:t>Trebilcock</w:t>
      </w:r>
      <w:proofErr w:type="spellEnd"/>
      <w:r>
        <w:t xml:space="preserve">, J. (2010) Epidemiología del suicidio en Chile. </w:t>
      </w:r>
      <w:r w:rsidRPr="00CD6EF6">
        <w:rPr>
          <w:i/>
          <w:lang w:val="en-US"/>
        </w:rPr>
        <w:t xml:space="preserve">Acta Med CSM. </w:t>
      </w:r>
      <w:r w:rsidRPr="00CD6EF6">
        <w:rPr>
          <w:lang w:val="en-US"/>
        </w:rPr>
        <w:t xml:space="preserve">4 (1), 13-21. </w:t>
      </w:r>
    </w:p>
    <w:p w14:paraId="2A6617F1" w14:textId="5CDEE918" w:rsidR="001F4146" w:rsidRPr="00CD6EF6" w:rsidRDefault="001F4146" w:rsidP="00F75A4B">
      <w:pPr>
        <w:ind w:left="426" w:hanging="426"/>
      </w:pPr>
      <w:r w:rsidRPr="001F4146">
        <w:rPr>
          <w:lang w:val="en-US"/>
        </w:rPr>
        <w:t xml:space="preserve">Robin X, </w:t>
      </w:r>
      <w:proofErr w:type="spellStart"/>
      <w:r w:rsidRPr="001F4146">
        <w:rPr>
          <w:lang w:val="en-US"/>
        </w:rPr>
        <w:t>Turck</w:t>
      </w:r>
      <w:proofErr w:type="spellEnd"/>
      <w:r w:rsidRPr="001F4146">
        <w:rPr>
          <w:lang w:val="en-US"/>
        </w:rPr>
        <w:t xml:space="preserve"> N., </w:t>
      </w:r>
      <w:proofErr w:type="spellStart"/>
      <w:r w:rsidRPr="001F4146">
        <w:rPr>
          <w:lang w:val="en-US"/>
        </w:rPr>
        <w:t>H</w:t>
      </w:r>
      <w:r>
        <w:rPr>
          <w:lang w:val="en-US"/>
        </w:rPr>
        <w:t>ainard</w:t>
      </w:r>
      <w:proofErr w:type="spellEnd"/>
      <w:r>
        <w:rPr>
          <w:lang w:val="en-US"/>
        </w:rPr>
        <w:t xml:space="preserve"> A., </w:t>
      </w:r>
      <w:proofErr w:type="spellStart"/>
      <w:r>
        <w:rPr>
          <w:lang w:val="en-US"/>
        </w:rPr>
        <w:t>Tiberti</w:t>
      </w:r>
      <w:proofErr w:type="spellEnd"/>
      <w:r>
        <w:rPr>
          <w:lang w:val="en-US"/>
        </w:rPr>
        <w:t xml:space="preserve"> N, </w:t>
      </w:r>
      <w:proofErr w:type="spellStart"/>
      <w:r>
        <w:rPr>
          <w:lang w:val="en-US"/>
        </w:rPr>
        <w:t>Lisaceak</w:t>
      </w:r>
      <w:proofErr w:type="spellEnd"/>
      <w:r>
        <w:rPr>
          <w:lang w:val="en-US"/>
        </w:rPr>
        <w:t xml:space="preserve"> F, Sanchez JC, et al. (2011). </w:t>
      </w:r>
      <w:proofErr w:type="spellStart"/>
      <w:r>
        <w:rPr>
          <w:lang w:val="en-US"/>
        </w:rPr>
        <w:t>pROC</w:t>
      </w:r>
      <w:proofErr w:type="spellEnd"/>
      <w:r>
        <w:rPr>
          <w:lang w:val="en-US"/>
        </w:rPr>
        <w:t xml:space="preserve">: An open-source package for R and S+ to </w:t>
      </w:r>
      <w:proofErr w:type="spellStart"/>
      <w:r>
        <w:rPr>
          <w:lang w:val="en-US"/>
        </w:rPr>
        <w:t>analyse</w:t>
      </w:r>
      <w:proofErr w:type="spellEnd"/>
      <w:r>
        <w:rPr>
          <w:lang w:val="en-US"/>
        </w:rPr>
        <w:t xml:space="preserve"> and compare ROC curves. </w:t>
      </w:r>
      <w:r w:rsidRPr="00CD6EF6">
        <w:rPr>
          <w:i/>
        </w:rPr>
        <w:t>BMC Bioinformatics</w:t>
      </w:r>
      <w:r w:rsidRPr="00CD6EF6">
        <w:t>. 12, 77-84.</w:t>
      </w:r>
    </w:p>
    <w:p w14:paraId="64C1C1A3" w14:textId="17A3CA29" w:rsidR="000C2016" w:rsidRDefault="000C2016" w:rsidP="00F75A4B">
      <w:pPr>
        <w:ind w:left="426" w:hanging="426"/>
      </w:pPr>
      <w:r w:rsidRPr="001F4146">
        <w:t xml:space="preserve">Sanz </w:t>
      </w:r>
      <w:r w:rsidR="005B233C" w:rsidRPr="001F4146">
        <w:t xml:space="preserve">J. y Vásquez C. (1998). </w:t>
      </w:r>
      <w:r w:rsidR="005B233C">
        <w:t xml:space="preserve">Fiabilidad, validez y datos normativos del Inventario para la Depresión de Beck. </w:t>
      </w:r>
      <w:proofErr w:type="spellStart"/>
      <w:r w:rsidR="005B233C" w:rsidRPr="005B233C">
        <w:rPr>
          <w:i/>
        </w:rPr>
        <w:t>Psicothema</w:t>
      </w:r>
      <w:proofErr w:type="spellEnd"/>
      <w:r w:rsidR="005B233C">
        <w:t>. 10(2), 303-318.</w:t>
      </w:r>
    </w:p>
    <w:p w14:paraId="14F27928" w14:textId="51BB576D" w:rsidR="00F75A4B" w:rsidRPr="00CD6EF6" w:rsidRDefault="00F75A4B" w:rsidP="00F75A4B">
      <w:pPr>
        <w:ind w:left="426" w:hanging="426"/>
        <w:rPr>
          <w:lang w:val="en-US"/>
        </w:rPr>
      </w:pPr>
      <w:r>
        <w:lastRenderedPageBreak/>
        <w:t xml:space="preserve">Silva, D., Vicente B., Saldivia, S. &amp; Kohn, R. (2013). Conducta suicida y trastornos psiquiátricos en Chile, un estudio poblacional. </w:t>
      </w:r>
      <w:r w:rsidRPr="00CD6EF6">
        <w:rPr>
          <w:i/>
          <w:lang w:val="en-US"/>
        </w:rPr>
        <w:t xml:space="preserve">Revista Médica de Chile. </w:t>
      </w:r>
      <w:r w:rsidRPr="00CD6EF6">
        <w:rPr>
          <w:lang w:val="en-US"/>
        </w:rPr>
        <w:t xml:space="preserve">141 (10), 1275-82. </w:t>
      </w:r>
    </w:p>
    <w:p w14:paraId="1B15D454" w14:textId="66A2125A" w:rsidR="001F4146" w:rsidRPr="001F4146" w:rsidRDefault="001F4146" w:rsidP="00F75A4B">
      <w:pPr>
        <w:ind w:left="426" w:hanging="426"/>
      </w:pPr>
      <w:r w:rsidRPr="001F4146">
        <w:rPr>
          <w:lang w:val="en-US"/>
        </w:rPr>
        <w:t>Stevens JP. Applied multivariate s</w:t>
      </w:r>
      <w:r>
        <w:rPr>
          <w:lang w:val="en-US"/>
        </w:rPr>
        <w:t xml:space="preserve">tatistics for the social sciences. </w:t>
      </w:r>
      <w:r w:rsidRPr="001F4146">
        <w:t xml:space="preserve">[4° ed.]. </w:t>
      </w:r>
      <w:proofErr w:type="spellStart"/>
      <w:r w:rsidRPr="001F4146">
        <w:t>Mahwah</w:t>
      </w:r>
      <w:proofErr w:type="spellEnd"/>
      <w:r w:rsidRPr="001F4146">
        <w:t>, USA: Lawr</w:t>
      </w:r>
      <w:r>
        <w:t xml:space="preserve">ence </w:t>
      </w:r>
      <w:proofErr w:type="spellStart"/>
      <w:r>
        <w:t>Erlbaum</w:t>
      </w:r>
      <w:proofErr w:type="spellEnd"/>
      <w:r>
        <w:t xml:space="preserve"> </w:t>
      </w:r>
      <w:proofErr w:type="spellStart"/>
      <w:r>
        <w:t>Associates</w:t>
      </w:r>
      <w:proofErr w:type="spellEnd"/>
      <w:r>
        <w:t xml:space="preserve">. </w:t>
      </w:r>
    </w:p>
    <w:p w14:paraId="351EB7A4" w14:textId="77777777" w:rsidR="00F75A4B" w:rsidRDefault="00F75A4B" w:rsidP="00F75A4B">
      <w:pPr>
        <w:ind w:left="426" w:hanging="426"/>
      </w:pPr>
      <w:r>
        <w:t xml:space="preserve">Superintendencia de Salud, Gobierno de Chile. (2013). Análisis de licencias médicas y gasto en subsidios por incapacidad laboral año 2011. Santiago: Departamento de Estudios y Desarrollo. </w:t>
      </w:r>
    </w:p>
    <w:p w14:paraId="7677ECAF" w14:textId="77777777" w:rsidR="00F75A4B" w:rsidRDefault="00F75A4B" w:rsidP="00F75A4B">
      <w:pPr>
        <w:ind w:left="426" w:hanging="426"/>
      </w:pPr>
      <w:r>
        <w:t>Universidad de Chile. (2014). Sistema de salud mental en Chile. Santiago: WHO-PAHO-MINSAL.</w:t>
      </w:r>
    </w:p>
    <w:p w14:paraId="71BFFB2B" w14:textId="5196F5D8" w:rsidR="00F75A4B" w:rsidRDefault="00F75A4B" w:rsidP="00F75A4B">
      <w:pPr>
        <w:ind w:left="426" w:hanging="426"/>
        <w:rPr>
          <w:i/>
        </w:rPr>
      </w:pPr>
      <w:r>
        <w:t xml:space="preserve">Valdés, C. &amp; Errázuriz, P. (2012) Salud Mental en Chile: El pariente pobre del sistema de salud. </w:t>
      </w:r>
      <w:r>
        <w:rPr>
          <w:i/>
        </w:rPr>
        <w:t xml:space="preserve">Clave de Políticas Públicas, UDP. </w:t>
      </w:r>
    </w:p>
    <w:p w14:paraId="27623F27" w14:textId="33552C50" w:rsidR="008E5610" w:rsidRPr="008E5610" w:rsidRDefault="008E5610" w:rsidP="008E5610">
      <w:pPr>
        <w:pStyle w:val="Standard"/>
        <w:spacing w:line="360" w:lineRule="auto"/>
        <w:jc w:val="both"/>
        <w:rPr>
          <w:rFonts w:ascii="Calibri" w:hAnsi="Calibri"/>
          <w:i/>
          <w:iCs/>
          <w:color w:val="000000"/>
          <w:sz w:val="22"/>
          <w:szCs w:val="22"/>
        </w:rPr>
      </w:pPr>
      <w:bookmarkStart w:id="8" w:name="OLE_LINK9"/>
      <w:bookmarkStart w:id="9" w:name="OLE_LINK15"/>
      <w:bookmarkStart w:id="10" w:name="OLE_LINK16"/>
      <w:bookmarkStart w:id="11" w:name="OLE_LINK17"/>
      <w:r w:rsidRPr="008E5610">
        <w:rPr>
          <w:rFonts w:ascii="Calibri" w:hAnsi="Calibri"/>
          <w:b/>
          <w:iCs/>
          <w:color w:val="000000"/>
          <w:sz w:val="22"/>
          <w:szCs w:val="22"/>
        </w:rPr>
        <w:t>Valdés, C</w:t>
      </w:r>
      <w:r w:rsidRPr="008E5610">
        <w:rPr>
          <w:rFonts w:ascii="Calibri" w:hAnsi="Calibri"/>
          <w:iCs/>
          <w:color w:val="000000"/>
          <w:sz w:val="22"/>
          <w:szCs w:val="22"/>
        </w:rPr>
        <w:t>., Morales-Reyes, I., Pérez, JC., Medellín, A., Rojas, G., Krause, M.</w:t>
      </w:r>
      <w:bookmarkEnd w:id="9"/>
      <w:bookmarkEnd w:id="10"/>
      <w:bookmarkEnd w:id="11"/>
      <w:r w:rsidRPr="008E5610">
        <w:rPr>
          <w:rFonts w:ascii="Calibri" w:hAnsi="Calibri"/>
          <w:iCs/>
          <w:color w:val="000000"/>
          <w:sz w:val="22"/>
          <w:szCs w:val="22"/>
        </w:rPr>
        <w:t xml:space="preserve"> </w:t>
      </w:r>
      <w:r>
        <w:rPr>
          <w:rFonts w:ascii="Calibri" w:hAnsi="Calibri"/>
          <w:iCs/>
          <w:color w:val="000000"/>
          <w:sz w:val="22"/>
          <w:szCs w:val="22"/>
        </w:rPr>
        <w:t>(2017)</w:t>
      </w:r>
      <w:r w:rsidRPr="008E5610">
        <w:rPr>
          <w:rFonts w:ascii="Calibri" w:hAnsi="Calibri"/>
          <w:iCs/>
          <w:color w:val="000000"/>
          <w:sz w:val="22"/>
          <w:szCs w:val="22"/>
        </w:rPr>
        <w:t xml:space="preserve"> “Propiedad psicométricas del Inventario de Depresión de Beck IA para la Población Chilena” </w:t>
      </w:r>
      <w:r w:rsidRPr="008E5610">
        <w:rPr>
          <w:rFonts w:ascii="Calibri" w:hAnsi="Calibri"/>
          <w:i/>
          <w:iCs/>
          <w:color w:val="000000"/>
          <w:sz w:val="22"/>
          <w:szCs w:val="22"/>
        </w:rPr>
        <w:t>Revista Médica Chilena</w:t>
      </w:r>
      <w:bookmarkEnd w:id="8"/>
      <w:r>
        <w:rPr>
          <w:rFonts w:ascii="Calibri" w:hAnsi="Calibri"/>
          <w:i/>
          <w:iCs/>
          <w:color w:val="000000"/>
          <w:sz w:val="22"/>
          <w:szCs w:val="22"/>
        </w:rPr>
        <w:t xml:space="preserve">, </w:t>
      </w:r>
    </w:p>
    <w:p w14:paraId="6D139BBA" w14:textId="3884CD0D" w:rsidR="00F75A4B" w:rsidRDefault="00F75A4B" w:rsidP="00F75A4B">
      <w:pPr>
        <w:ind w:left="426" w:hanging="426"/>
        <w:rPr>
          <w:lang w:val="en-US"/>
        </w:rPr>
      </w:pPr>
      <w:proofErr w:type="spellStart"/>
      <w:r>
        <w:t>Vöhringer</w:t>
      </w:r>
      <w:proofErr w:type="spellEnd"/>
      <w:r>
        <w:t xml:space="preserve">, P., Jiménez, M., Igor, M., </w:t>
      </w:r>
      <w:proofErr w:type="spellStart"/>
      <w:r>
        <w:t>Fores</w:t>
      </w:r>
      <w:proofErr w:type="spellEnd"/>
      <w:r>
        <w:t xml:space="preserve">, G., Correa, M., Sullivan, M. et al. </w:t>
      </w:r>
      <w:r>
        <w:rPr>
          <w:lang w:val="en-US"/>
        </w:rPr>
        <w:t xml:space="preserve">(2013). A clinical predictive score for mood disorder risk in low income primary care settings. </w:t>
      </w:r>
      <w:r>
        <w:rPr>
          <w:i/>
          <w:lang w:val="en-US"/>
        </w:rPr>
        <w:t xml:space="preserve">Journal of Affective Disorders. </w:t>
      </w:r>
      <w:r>
        <w:rPr>
          <w:lang w:val="en-US"/>
        </w:rPr>
        <w:t>151, 1125-31.</w:t>
      </w:r>
    </w:p>
    <w:p w14:paraId="59BB4FFA" w14:textId="34070E59" w:rsidR="00A803EC" w:rsidRPr="00A803EC" w:rsidRDefault="00A803EC" w:rsidP="00A803EC">
      <w:pPr>
        <w:snapToGrid w:val="0"/>
        <w:ind w:left="357" w:hanging="357"/>
        <w:jc w:val="both"/>
        <w:rPr>
          <w:rFonts w:eastAsia="Century Schoolbook" w:cstheme="minorHAnsi"/>
          <w:color w:val="00000A"/>
        </w:rPr>
      </w:pPr>
      <w:proofErr w:type="spellStart"/>
      <w:r w:rsidRPr="00A803EC">
        <w:rPr>
          <w:rFonts w:eastAsia="Century Schoolbook" w:cstheme="minorHAnsi"/>
          <w:color w:val="00000A"/>
        </w:rPr>
        <w:t>von</w:t>
      </w:r>
      <w:proofErr w:type="spellEnd"/>
      <w:r w:rsidRPr="00A803EC">
        <w:rPr>
          <w:rFonts w:eastAsia="Century Schoolbook" w:cstheme="minorHAnsi"/>
          <w:color w:val="00000A"/>
        </w:rPr>
        <w:t xml:space="preserve"> Bergen, A. &amp; de la Parra, G. (2002). OQ-45.2, Cuestionario para Evaluación de Resultados y Evolución en Psicoterapia: adaptación, validación e indicaciones para su aplicación e interpretación. </w:t>
      </w:r>
      <w:r w:rsidRPr="00A803EC">
        <w:rPr>
          <w:rFonts w:eastAsia="Century Schoolbook" w:cstheme="minorHAnsi"/>
          <w:i/>
          <w:color w:val="00000A"/>
        </w:rPr>
        <w:t>Terapia Psicológica, 20,</w:t>
      </w:r>
      <w:r w:rsidRPr="00A803EC">
        <w:rPr>
          <w:rFonts w:eastAsia="Century Schoolbook" w:cstheme="minorHAnsi"/>
          <w:color w:val="00000A"/>
        </w:rPr>
        <w:t xml:space="preserve"> 161-176. extraído de https://www.researchgate.net/publication/263314562_oq-452_cuestionario_para_evaluacion_de_resultados_y_evolucion_en_psicoterapia_adaptacion_validacion_e_indicaciones_para_su_aplicacion_e_interpretacion_oq-452_an_outcome_questionnaire_for_monitoring_ch</w:t>
      </w:r>
    </w:p>
    <w:p w14:paraId="244A1932" w14:textId="77777777" w:rsidR="00F75A4B" w:rsidRDefault="00F75A4B" w:rsidP="00F75A4B">
      <w:pPr>
        <w:ind w:left="426" w:hanging="426"/>
        <w:rPr>
          <w:lang w:val="en-US"/>
        </w:rPr>
      </w:pPr>
      <w:r w:rsidRPr="00A803EC">
        <w:t xml:space="preserve">Vicente, B., Rioseco, P., Saldivia, S., Kohn, R. &amp; Torres, S. (2002). </w:t>
      </w:r>
      <w:r>
        <w:t xml:space="preserve">Estudio chileno de prevalencia de patología psiquiátrica (DSM-III-R/CIDI). </w:t>
      </w:r>
      <w:proofErr w:type="spellStart"/>
      <w:r w:rsidRPr="00F75A4B">
        <w:rPr>
          <w:i/>
          <w:lang w:val="en-US"/>
        </w:rPr>
        <w:t>Revista</w:t>
      </w:r>
      <w:proofErr w:type="spellEnd"/>
      <w:r w:rsidRPr="00F75A4B">
        <w:rPr>
          <w:i/>
          <w:lang w:val="en-US"/>
        </w:rPr>
        <w:t xml:space="preserve"> </w:t>
      </w:r>
      <w:proofErr w:type="spellStart"/>
      <w:r w:rsidRPr="00F75A4B">
        <w:rPr>
          <w:i/>
          <w:lang w:val="en-US"/>
        </w:rPr>
        <w:t>Médica</w:t>
      </w:r>
      <w:proofErr w:type="spellEnd"/>
      <w:r w:rsidRPr="00F75A4B">
        <w:rPr>
          <w:i/>
          <w:lang w:val="en-US"/>
        </w:rPr>
        <w:t xml:space="preserve"> de Chile. </w:t>
      </w:r>
      <w:r w:rsidRPr="00F75A4B">
        <w:rPr>
          <w:lang w:val="en-US"/>
        </w:rPr>
        <w:t>130, 527-36.</w:t>
      </w:r>
      <w:r>
        <w:rPr>
          <w:lang w:val="en-US"/>
        </w:rPr>
        <w:t xml:space="preserve"> </w:t>
      </w:r>
    </w:p>
    <w:p w14:paraId="49B558EC" w14:textId="77777777" w:rsidR="00F75A4B" w:rsidRDefault="00F75A4B" w:rsidP="00F75A4B">
      <w:pPr>
        <w:ind w:left="426" w:hanging="426"/>
        <w:rPr>
          <w:lang w:val="en-US"/>
        </w:rPr>
      </w:pPr>
      <w:r>
        <w:rPr>
          <w:lang w:val="en-US"/>
        </w:rPr>
        <w:t>World Health Organization - WHO. (2013). Investing in mental health. Evidence for action. Geneva: WHO.</w:t>
      </w:r>
    </w:p>
    <w:p w14:paraId="4D2133B2" w14:textId="188C6535" w:rsidR="00F75A4B" w:rsidRDefault="00F75A4B" w:rsidP="00F75A4B">
      <w:pPr>
        <w:ind w:left="426" w:hanging="426"/>
        <w:rPr>
          <w:lang w:val="en-US"/>
        </w:rPr>
      </w:pPr>
      <w:r>
        <w:rPr>
          <w:lang w:val="en-US"/>
        </w:rPr>
        <w:t xml:space="preserve">World Health Organization. (2001). The World Health Report 2001: Mental health – new understanding, new hope. </w:t>
      </w:r>
      <w:proofErr w:type="spellStart"/>
      <w:r>
        <w:rPr>
          <w:lang w:val="en-US"/>
        </w:rPr>
        <w:t>Ginebra</w:t>
      </w:r>
      <w:proofErr w:type="spellEnd"/>
      <w:r>
        <w:rPr>
          <w:lang w:val="en-US"/>
        </w:rPr>
        <w:t>: WHO.</w:t>
      </w:r>
    </w:p>
    <w:p w14:paraId="5D1358A7" w14:textId="62F5A08B" w:rsidR="002519D8" w:rsidRPr="002519D8" w:rsidRDefault="002519D8" w:rsidP="00F75A4B">
      <w:pPr>
        <w:ind w:left="426" w:hanging="426"/>
        <w:rPr>
          <w:lang w:val="en-US"/>
        </w:rPr>
      </w:pPr>
      <w:r>
        <w:rPr>
          <w:lang w:val="en-US"/>
        </w:rPr>
        <w:t xml:space="preserve">Youden WJ. (1950). Index for rating diagnostic test. </w:t>
      </w:r>
      <w:r>
        <w:rPr>
          <w:i/>
          <w:lang w:val="en-US"/>
        </w:rPr>
        <w:t>Cancer</w:t>
      </w:r>
      <w:r>
        <w:rPr>
          <w:lang w:val="en-US"/>
        </w:rPr>
        <w:t>. 3: 32-35.</w:t>
      </w:r>
    </w:p>
    <w:p w14:paraId="74018EFC" w14:textId="0DC904F7" w:rsidR="00F75A4B" w:rsidRPr="002519D8" w:rsidRDefault="00F75A4B" w:rsidP="001F4146">
      <w:pPr>
        <w:spacing w:after="0" w:line="360" w:lineRule="auto"/>
        <w:rPr>
          <w:rFonts w:ascii="Times New Roman" w:hAnsi="Times New Roman" w:cs="Times New Roman"/>
          <w:b/>
          <w:sz w:val="24"/>
          <w:szCs w:val="24"/>
          <w:lang w:val="en-US"/>
        </w:rPr>
      </w:pPr>
      <w:proofErr w:type="spellStart"/>
      <w:r>
        <w:rPr>
          <w:lang w:val="en-US"/>
        </w:rPr>
        <w:t>Ziegelstein</w:t>
      </w:r>
      <w:proofErr w:type="spellEnd"/>
      <w:r>
        <w:rPr>
          <w:lang w:val="en-US"/>
        </w:rPr>
        <w:t xml:space="preserve"> R. (2001) Depression in patients recovering from a myocardial infarction. </w:t>
      </w:r>
      <w:r>
        <w:rPr>
          <w:i/>
          <w:lang w:val="en-US"/>
        </w:rPr>
        <w:t xml:space="preserve">JAMA. </w:t>
      </w:r>
      <w:r>
        <w:rPr>
          <w:lang w:val="en-US"/>
        </w:rPr>
        <w:t>286</w:t>
      </w:r>
    </w:p>
    <w:p w14:paraId="7592CA7A" w14:textId="1B6E8EE0" w:rsidR="00DB3409" w:rsidRPr="002519D8" w:rsidRDefault="00DB3409" w:rsidP="00DB3409">
      <w:pPr>
        <w:spacing w:after="0" w:line="360" w:lineRule="auto"/>
        <w:rPr>
          <w:rFonts w:ascii="Times New Roman" w:hAnsi="Times New Roman" w:cs="Times New Roman"/>
          <w:b/>
          <w:sz w:val="24"/>
          <w:szCs w:val="24"/>
          <w:lang w:val="en-US"/>
        </w:rPr>
      </w:pPr>
      <w:r w:rsidRPr="002519D8">
        <w:rPr>
          <w:rFonts w:ascii="Times New Roman" w:hAnsi="Times New Roman" w:cs="Times New Roman"/>
          <w:b/>
          <w:sz w:val="24"/>
          <w:szCs w:val="24"/>
          <w:lang w:val="en-US"/>
        </w:rPr>
        <w:tab/>
      </w:r>
    </w:p>
    <w:p w14:paraId="35ABD7F7" w14:textId="2A32A146" w:rsidR="00517BA9" w:rsidRPr="002519D8" w:rsidRDefault="00517BA9" w:rsidP="00130994">
      <w:pPr>
        <w:spacing w:after="0" w:line="360" w:lineRule="auto"/>
        <w:jc w:val="both"/>
        <w:rPr>
          <w:rFonts w:ascii="Times New Roman" w:hAnsi="Times New Roman" w:cs="Times New Roman"/>
          <w:b/>
          <w:sz w:val="24"/>
          <w:szCs w:val="24"/>
          <w:lang w:val="en-US"/>
        </w:rPr>
      </w:pPr>
      <w:r w:rsidRPr="002519D8">
        <w:rPr>
          <w:rFonts w:ascii="Times New Roman" w:hAnsi="Times New Roman" w:cs="Times New Roman"/>
          <w:b/>
          <w:i/>
          <w:sz w:val="24"/>
          <w:szCs w:val="24"/>
          <w:lang w:val="en-US"/>
        </w:rPr>
        <w:tab/>
      </w:r>
    </w:p>
    <w:p w14:paraId="63530E1F" w14:textId="0451B58C" w:rsidR="00130994" w:rsidRPr="002519D8" w:rsidRDefault="00130994" w:rsidP="00130994">
      <w:pPr>
        <w:spacing w:after="0" w:line="360" w:lineRule="auto"/>
        <w:jc w:val="both"/>
        <w:rPr>
          <w:rFonts w:ascii="Times New Roman" w:hAnsi="Times New Roman" w:cs="Times New Roman"/>
          <w:b/>
          <w:sz w:val="24"/>
          <w:szCs w:val="24"/>
          <w:lang w:val="en-US"/>
        </w:rPr>
      </w:pPr>
      <w:r w:rsidRPr="002519D8">
        <w:rPr>
          <w:rFonts w:ascii="Times New Roman" w:hAnsi="Times New Roman" w:cs="Times New Roman"/>
          <w:b/>
          <w:i/>
          <w:sz w:val="24"/>
          <w:szCs w:val="24"/>
          <w:lang w:val="en-US"/>
        </w:rPr>
        <w:tab/>
      </w:r>
    </w:p>
    <w:sectPr w:rsidR="00130994" w:rsidRPr="002519D8" w:rsidSect="00D82978">
      <w:pgSz w:w="12240" w:h="15840"/>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9D2F350" w14:textId="77777777" w:rsidR="009D3479" w:rsidRDefault="009D3479" w:rsidP="008B4737">
      <w:pPr>
        <w:spacing w:after="0" w:line="240" w:lineRule="auto"/>
      </w:pPr>
      <w:r>
        <w:separator/>
      </w:r>
    </w:p>
  </w:endnote>
  <w:endnote w:type="continuationSeparator" w:id="0">
    <w:p w14:paraId="7299A8C1" w14:textId="77777777" w:rsidR="009D3479" w:rsidRDefault="009D3479" w:rsidP="008B47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Ubuntu">
    <w:altName w:val="Calibri"/>
    <w:charset w:val="00"/>
    <w:family w:val="swiss"/>
    <w:pitch w:val="variable"/>
    <w:sig w:usb0="E00002FF" w:usb1="5000205B"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131899" w14:textId="093CF020" w:rsidR="003350DD" w:rsidRDefault="003350DD">
    <w:pPr>
      <w:pStyle w:val="Piedepgina"/>
      <w:jc w:val="center"/>
    </w:pPr>
  </w:p>
  <w:p w14:paraId="2E7A74EA" w14:textId="77777777" w:rsidR="003350DD" w:rsidRDefault="003350DD">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E78EE2" w14:textId="77777777" w:rsidR="003350DD" w:rsidRDefault="003350DD">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0637475"/>
      <w:docPartObj>
        <w:docPartGallery w:val="Page Numbers (Bottom of Page)"/>
        <w:docPartUnique/>
      </w:docPartObj>
    </w:sdtPr>
    <w:sdtContent>
      <w:p w14:paraId="44110A70" w14:textId="56FE7D5A" w:rsidR="003350DD" w:rsidRDefault="003350DD">
        <w:pPr>
          <w:pStyle w:val="Piedepgina"/>
          <w:jc w:val="center"/>
        </w:pPr>
        <w:r>
          <w:fldChar w:fldCharType="begin"/>
        </w:r>
        <w:r>
          <w:instrText>PAGE   \* MERGEFORMAT</w:instrText>
        </w:r>
        <w:r>
          <w:fldChar w:fldCharType="separate"/>
        </w:r>
        <w:r>
          <w:rPr>
            <w:lang w:val="es-ES"/>
          </w:rPr>
          <w:t>2</w:t>
        </w:r>
        <w:r>
          <w:fldChar w:fldCharType="end"/>
        </w:r>
      </w:p>
    </w:sdtContent>
  </w:sdt>
  <w:p w14:paraId="59F30932" w14:textId="77777777" w:rsidR="003350DD" w:rsidRDefault="003350DD">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5616C00" w14:textId="77777777" w:rsidR="003350DD" w:rsidRDefault="003350DD">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C489290" w14:textId="77777777" w:rsidR="009D3479" w:rsidRDefault="009D3479" w:rsidP="008B4737">
      <w:pPr>
        <w:spacing w:after="0" w:line="240" w:lineRule="auto"/>
      </w:pPr>
      <w:r>
        <w:separator/>
      </w:r>
    </w:p>
  </w:footnote>
  <w:footnote w:type="continuationSeparator" w:id="0">
    <w:p w14:paraId="7CB83ECA" w14:textId="77777777" w:rsidR="009D3479" w:rsidRDefault="009D3479" w:rsidP="008B473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CAFD9D4" w14:textId="77777777" w:rsidR="003350DD" w:rsidRDefault="003350DD">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EFCF21B" w14:textId="77777777" w:rsidR="003350DD" w:rsidRPr="00D82978" w:rsidRDefault="003350DD" w:rsidP="00D82978">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077825" w14:textId="77777777" w:rsidR="003350DD" w:rsidRDefault="003350DD">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8802B8D"/>
    <w:multiLevelType w:val="hybridMultilevel"/>
    <w:tmpl w:val="751665F6"/>
    <w:lvl w:ilvl="0" w:tplc="7C1CAB62">
      <w:start w:val="4"/>
      <w:numFmt w:val="bullet"/>
      <w:lvlText w:val="-"/>
      <w:lvlJc w:val="left"/>
      <w:pPr>
        <w:ind w:left="720" w:hanging="360"/>
      </w:pPr>
      <w:rPr>
        <w:rFonts w:ascii="Times New Roman" w:eastAsiaTheme="minorHAnsi" w:hAnsi="Times New Roman" w:cs="Times New Roman"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48D83FAB"/>
    <w:multiLevelType w:val="hybridMultilevel"/>
    <w:tmpl w:val="8944985A"/>
    <w:lvl w:ilvl="0" w:tplc="C660CD96">
      <w:start w:val="4"/>
      <w:numFmt w:val="bullet"/>
      <w:lvlText w:val="-"/>
      <w:lvlJc w:val="left"/>
      <w:pPr>
        <w:ind w:left="720" w:hanging="360"/>
      </w:pPr>
      <w:rPr>
        <w:rFonts w:ascii="Arial" w:eastAsiaTheme="minorHAnsi" w:hAnsi="Arial" w:cs="Aria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73322575"/>
    <w:multiLevelType w:val="multilevel"/>
    <w:tmpl w:val="7060B3B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1AB6"/>
    <w:rsid w:val="000200B5"/>
    <w:rsid w:val="00024B76"/>
    <w:rsid w:val="00040D18"/>
    <w:rsid w:val="00066822"/>
    <w:rsid w:val="00070912"/>
    <w:rsid w:val="0007258F"/>
    <w:rsid w:val="000748F8"/>
    <w:rsid w:val="0007673E"/>
    <w:rsid w:val="000A4808"/>
    <w:rsid w:val="000C2016"/>
    <w:rsid w:val="000D1AB6"/>
    <w:rsid w:val="000F3E90"/>
    <w:rsid w:val="0010140F"/>
    <w:rsid w:val="00116665"/>
    <w:rsid w:val="00130994"/>
    <w:rsid w:val="001428A1"/>
    <w:rsid w:val="0014591B"/>
    <w:rsid w:val="00147346"/>
    <w:rsid w:val="001526AE"/>
    <w:rsid w:val="00154A17"/>
    <w:rsid w:val="00186993"/>
    <w:rsid w:val="00192BD0"/>
    <w:rsid w:val="001A4686"/>
    <w:rsid w:val="001B013A"/>
    <w:rsid w:val="001C1A57"/>
    <w:rsid w:val="001C6205"/>
    <w:rsid w:val="001C65E1"/>
    <w:rsid w:val="001D6CCE"/>
    <w:rsid w:val="001E4D08"/>
    <w:rsid w:val="001F4146"/>
    <w:rsid w:val="001F4B7A"/>
    <w:rsid w:val="002122C2"/>
    <w:rsid w:val="002300C6"/>
    <w:rsid w:val="00230BBA"/>
    <w:rsid w:val="00237BC3"/>
    <w:rsid w:val="002519D8"/>
    <w:rsid w:val="002706F4"/>
    <w:rsid w:val="00270B01"/>
    <w:rsid w:val="00276824"/>
    <w:rsid w:val="00287113"/>
    <w:rsid w:val="00293828"/>
    <w:rsid w:val="002B6696"/>
    <w:rsid w:val="002C5D40"/>
    <w:rsid w:val="002C7C46"/>
    <w:rsid w:val="002E2E36"/>
    <w:rsid w:val="00304DB4"/>
    <w:rsid w:val="00311B73"/>
    <w:rsid w:val="00322B33"/>
    <w:rsid w:val="00333E7E"/>
    <w:rsid w:val="003350DD"/>
    <w:rsid w:val="00365BF5"/>
    <w:rsid w:val="00382D04"/>
    <w:rsid w:val="003A0CE7"/>
    <w:rsid w:val="00417384"/>
    <w:rsid w:val="004175C4"/>
    <w:rsid w:val="00435D94"/>
    <w:rsid w:val="00435D9B"/>
    <w:rsid w:val="0045018D"/>
    <w:rsid w:val="00491C9C"/>
    <w:rsid w:val="00496707"/>
    <w:rsid w:val="004968F8"/>
    <w:rsid w:val="004A5D3F"/>
    <w:rsid w:val="004B7933"/>
    <w:rsid w:val="004C5CC8"/>
    <w:rsid w:val="004E11BC"/>
    <w:rsid w:val="004E1279"/>
    <w:rsid w:val="004E65D4"/>
    <w:rsid w:val="005006E7"/>
    <w:rsid w:val="00501BEB"/>
    <w:rsid w:val="00510EE5"/>
    <w:rsid w:val="00517BA9"/>
    <w:rsid w:val="0052023B"/>
    <w:rsid w:val="0052103D"/>
    <w:rsid w:val="00526A27"/>
    <w:rsid w:val="00537498"/>
    <w:rsid w:val="00546E10"/>
    <w:rsid w:val="00562D08"/>
    <w:rsid w:val="00581A3A"/>
    <w:rsid w:val="00584042"/>
    <w:rsid w:val="00595563"/>
    <w:rsid w:val="005A164F"/>
    <w:rsid w:val="005A429A"/>
    <w:rsid w:val="005B233C"/>
    <w:rsid w:val="005C6035"/>
    <w:rsid w:val="005D00A1"/>
    <w:rsid w:val="005D45B3"/>
    <w:rsid w:val="005D4E19"/>
    <w:rsid w:val="005F046F"/>
    <w:rsid w:val="005F1062"/>
    <w:rsid w:val="005F6150"/>
    <w:rsid w:val="00607664"/>
    <w:rsid w:val="00614FD0"/>
    <w:rsid w:val="00623BA0"/>
    <w:rsid w:val="00651618"/>
    <w:rsid w:val="00651A87"/>
    <w:rsid w:val="00653E90"/>
    <w:rsid w:val="006573BC"/>
    <w:rsid w:val="0066045B"/>
    <w:rsid w:val="006621E7"/>
    <w:rsid w:val="0067788B"/>
    <w:rsid w:val="006822CB"/>
    <w:rsid w:val="006C0C19"/>
    <w:rsid w:val="006C1E10"/>
    <w:rsid w:val="006E14DA"/>
    <w:rsid w:val="006E1E3F"/>
    <w:rsid w:val="006F6459"/>
    <w:rsid w:val="006F73CD"/>
    <w:rsid w:val="0070755B"/>
    <w:rsid w:val="007255DC"/>
    <w:rsid w:val="007369F9"/>
    <w:rsid w:val="007478BF"/>
    <w:rsid w:val="00750B03"/>
    <w:rsid w:val="0075597B"/>
    <w:rsid w:val="0075678D"/>
    <w:rsid w:val="00766415"/>
    <w:rsid w:val="00771FD1"/>
    <w:rsid w:val="007727FB"/>
    <w:rsid w:val="00772E5B"/>
    <w:rsid w:val="00780A6F"/>
    <w:rsid w:val="007836C8"/>
    <w:rsid w:val="00790ACF"/>
    <w:rsid w:val="00793739"/>
    <w:rsid w:val="007B1122"/>
    <w:rsid w:val="007B1C97"/>
    <w:rsid w:val="007C0D8E"/>
    <w:rsid w:val="007F4F09"/>
    <w:rsid w:val="007F5A7C"/>
    <w:rsid w:val="008070A9"/>
    <w:rsid w:val="00827B0C"/>
    <w:rsid w:val="008511B6"/>
    <w:rsid w:val="00852F84"/>
    <w:rsid w:val="00855761"/>
    <w:rsid w:val="00860D99"/>
    <w:rsid w:val="008855D5"/>
    <w:rsid w:val="00885B98"/>
    <w:rsid w:val="008909A9"/>
    <w:rsid w:val="00895A8D"/>
    <w:rsid w:val="008A4A96"/>
    <w:rsid w:val="008B4737"/>
    <w:rsid w:val="008C3C63"/>
    <w:rsid w:val="008D1355"/>
    <w:rsid w:val="008D3572"/>
    <w:rsid w:val="008D642A"/>
    <w:rsid w:val="008D6539"/>
    <w:rsid w:val="008E5610"/>
    <w:rsid w:val="008F4141"/>
    <w:rsid w:val="008F78E3"/>
    <w:rsid w:val="00904483"/>
    <w:rsid w:val="0094185E"/>
    <w:rsid w:val="0095126F"/>
    <w:rsid w:val="00954E8D"/>
    <w:rsid w:val="009868C9"/>
    <w:rsid w:val="00993F9C"/>
    <w:rsid w:val="009A3F0A"/>
    <w:rsid w:val="009A4BF4"/>
    <w:rsid w:val="009B10DD"/>
    <w:rsid w:val="009B11EB"/>
    <w:rsid w:val="009B3939"/>
    <w:rsid w:val="009B4559"/>
    <w:rsid w:val="009C536A"/>
    <w:rsid w:val="009D3479"/>
    <w:rsid w:val="009E07FD"/>
    <w:rsid w:val="009F54F4"/>
    <w:rsid w:val="009F7FE8"/>
    <w:rsid w:val="00A02A16"/>
    <w:rsid w:val="00A06018"/>
    <w:rsid w:val="00A07B92"/>
    <w:rsid w:val="00A13C03"/>
    <w:rsid w:val="00A14D22"/>
    <w:rsid w:val="00A1795C"/>
    <w:rsid w:val="00A22D58"/>
    <w:rsid w:val="00A40ED2"/>
    <w:rsid w:val="00A61758"/>
    <w:rsid w:val="00A72AD8"/>
    <w:rsid w:val="00A803EC"/>
    <w:rsid w:val="00AA211A"/>
    <w:rsid w:val="00AB1758"/>
    <w:rsid w:val="00AB2508"/>
    <w:rsid w:val="00AB3957"/>
    <w:rsid w:val="00AB533F"/>
    <w:rsid w:val="00AC4BA4"/>
    <w:rsid w:val="00AC562E"/>
    <w:rsid w:val="00AF4127"/>
    <w:rsid w:val="00AF5F28"/>
    <w:rsid w:val="00B04F4A"/>
    <w:rsid w:val="00B07E71"/>
    <w:rsid w:val="00B11AA1"/>
    <w:rsid w:val="00B21477"/>
    <w:rsid w:val="00B52FDF"/>
    <w:rsid w:val="00BB1EAE"/>
    <w:rsid w:val="00BB482B"/>
    <w:rsid w:val="00BC1D48"/>
    <w:rsid w:val="00BC4ACE"/>
    <w:rsid w:val="00BC7972"/>
    <w:rsid w:val="00BE67DE"/>
    <w:rsid w:val="00C0107D"/>
    <w:rsid w:val="00C03132"/>
    <w:rsid w:val="00C154DC"/>
    <w:rsid w:val="00C24DFF"/>
    <w:rsid w:val="00C327A8"/>
    <w:rsid w:val="00C417AC"/>
    <w:rsid w:val="00C4190A"/>
    <w:rsid w:val="00C51235"/>
    <w:rsid w:val="00C67B42"/>
    <w:rsid w:val="00C76FA0"/>
    <w:rsid w:val="00C9439F"/>
    <w:rsid w:val="00CA2328"/>
    <w:rsid w:val="00CB585F"/>
    <w:rsid w:val="00CB5A93"/>
    <w:rsid w:val="00CD6EF6"/>
    <w:rsid w:val="00CE5665"/>
    <w:rsid w:val="00CF1ED3"/>
    <w:rsid w:val="00CF2C89"/>
    <w:rsid w:val="00CF2FF4"/>
    <w:rsid w:val="00D0792B"/>
    <w:rsid w:val="00D10389"/>
    <w:rsid w:val="00D11BAC"/>
    <w:rsid w:val="00D130C7"/>
    <w:rsid w:val="00D1474F"/>
    <w:rsid w:val="00D27194"/>
    <w:rsid w:val="00D3146D"/>
    <w:rsid w:val="00D4686E"/>
    <w:rsid w:val="00D56197"/>
    <w:rsid w:val="00D627EF"/>
    <w:rsid w:val="00D63355"/>
    <w:rsid w:val="00D65630"/>
    <w:rsid w:val="00D7091B"/>
    <w:rsid w:val="00D82978"/>
    <w:rsid w:val="00DB3409"/>
    <w:rsid w:val="00DC68DD"/>
    <w:rsid w:val="00E1679F"/>
    <w:rsid w:val="00E27C54"/>
    <w:rsid w:val="00E36D49"/>
    <w:rsid w:val="00E56928"/>
    <w:rsid w:val="00E65CA9"/>
    <w:rsid w:val="00E7031B"/>
    <w:rsid w:val="00E75CC8"/>
    <w:rsid w:val="00E76951"/>
    <w:rsid w:val="00E82D09"/>
    <w:rsid w:val="00E85576"/>
    <w:rsid w:val="00E9246B"/>
    <w:rsid w:val="00E94F9B"/>
    <w:rsid w:val="00E95021"/>
    <w:rsid w:val="00E965D2"/>
    <w:rsid w:val="00EA2750"/>
    <w:rsid w:val="00EB211F"/>
    <w:rsid w:val="00EE209B"/>
    <w:rsid w:val="00EF5F44"/>
    <w:rsid w:val="00F00C55"/>
    <w:rsid w:val="00F10D04"/>
    <w:rsid w:val="00F17FE5"/>
    <w:rsid w:val="00F20CCC"/>
    <w:rsid w:val="00F2345D"/>
    <w:rsid w:val="00F26884"/>
    <w:rsid w:val="00F41064"/>
    <w:rsid w:val="00F50949"/>
    <w:rsid w:val="00F75A4B"/>
    <w:rsid w:val="00F821A3"/>
    <w:rsid w:val="00F90A6E"/>
    <w:rsid w:val="00F9625E"/>
    <w:rsid w:val="00FA327F"/>
    <w:rsid w:val="00FB27A9"/>
    <w:rsid w:val="00FB373D"/>
    <w:rsid w:val="00FC72A2"/>
    <w:rsid w:val="00FE3E2A"/>
    <w:rsid w:val="57FB4585"/>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243AFF"/>
  <w15:docId w15:val="{4D06BEEA-6CC7-405B-868D-455CF98FE8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350DD"/>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0D1AB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D1AB6"/>
    <w:rPr>
      <w:rFonts w:ascii="Tahoma" w:hAnsi="Tahoma" w:cs="Tahoma"/>
      <w:sz w:val="16"/>
      <w:szCs w:val="16"/>
    </w:rPr>
  </w:style>
  <w:style w:type="character" w:styleId="Refdecomentario">
    <w:name w:val="annotation reference"/>
    <w:basedOn w:val="Fuentedeprrafopredeter"/>
    <w:uiPriority w:val="99"/>
    <w:semiHidden/>
    <w:unhideWhenUsed/>
    <w:rsid w:val="00C67B42"/>
    <w:rPr>
      <w:sz w:val="16"/>
      <w:szCs w:val="16"/>
    </w:rPr>
  </w:style>
  <w:style w:type="paragraph" w:styleId="Textocomentario">
    <w:name w:val="annotation text"/>
    <w:basedOn w:val="Normal"/>
    <w:link w:val="TextocomentarioCar"/>
    <w:uiPriority w:val="99"/>
    <w:semiHidden/>
    <w:unhideWhenUsed/>
    <w:rsid w:val="00C67B42"/>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C67B42"/>
    <w:rPr>
      <w:sz w:val="20"/>
      <w:szCs w:val="20"/>
    </w:rPr>
  </w:style>
  <w:style w:type="paragraph" w:styleId="Asuntodelcomentario">
    <w:name w:val="annotation subject"/>
    <w:basedOn w:val="Textocomentario"/>
    <w:next w:val="Textocomentario"/>
    <w:link w:val="AsuntodelcomentarioCar"/>
    <w:uiPriority w:val="99"/>
    <w:semiHidden/>
    <w:unhideWhenUsed/>
    <w:rsid w:val="00C67B42"/>
    <w:rPr>
      <w:b/>
      <w:bCs/>
    </w:rPr>
  </w:style>
  <w:style w:type="character" w:customStyle="1" w:styleId="AsuntodelcomentarioCar">
    <w:name w:val="Asunto del comentario Car"/>
    <w:basedOn w:val="TextocomentarioCar"/>
    <w:link w:val="Asuntodelcomentario"/>
    <w:uiPriority w:val="99"/>
    <w:semiHidden/>
    <w:rsid w:val="00C67B42"/>
    <w:rPr>
      <w:b/>
      <w:bCs/>
      <w:sz w:val="20"/>
      <w:szCs w:val="20"/>
    </w:rPr>
  </w:style>
  <w:style w:type="character" w:styleId="Hipervnculo">
    <w:name w:val="Hyperlink"/>
    <w:basedOn w:val="Fuentedeprrafopredeter"/>
    <w:uiPriority w:val="99"/>
    <w:unhideWhenUsed/>
    <w:rsid w:val="00653E90"/>
    <w:rPr>
      <w:color w:val="0000FF"/>
      <w:u w:val="single"/>
    </w:rPr>
  </w:style>
  <w:style w:type="paragraph" w:customStyle="1" w:styleId="Default">
    <w:name w:val="Default"/>
    <w:uiPriority w:val="99"/>
    <w:rsid w:val="00653E90"/>
    <w:pPr>
      <w:autoSpaceDE w:val="0"/>
      <w:autoSpaceDN w:val="0"/>
      <w:adjustRightInd w:val="0"/>
      <w:spacing w:after="0" w:line="240" w:lineRule="auto"/>
    </w:pPr>
    <w:rPr>
      <w:rFonts w:ascii="Times New Roman" w:hAnsi="Times New Roman" w:cs="Times New Roman"/>
      <w:color w:val="000000"/>
      <w:sz w:val="24"/>
      <w:szCs w:val="24"/>
      <w:lang w:val="es-ES"/>
    </w:rPr>
  </w:style>
  <w:style w:type="paragraph" w:styleId="Prrafodelista">
    <w:name w:val="List Paragraph"/>
    <w:basedOn w:val="Normal"/>
    <w:uiPriority w:val="34"/>
    <w:qFormat/>
    <w:rsid w:val="00A72AD8"/>
    <w:pPr>
      <w:suppressAutoHyphens/>
      <w:ind w:left="720"/>
      <w:contextualSpacing/>
    </w:pPr>
  </w:style>
  <w:style w:type="character" w:customStyle="1" w:styleId="EnlacedeInternet">
    <w:name w:val="Enlace de Internet"/>
    <w:basedOn w:val="Fuentedeprrafopredeter"/>
    <w:uiPriority w:val="99"/>
    <w:qFormat/>
    <w:rsid w:val="00A72AD8"/>
    <w:rPr>
      <w:color w:val="0000FF"/>
      <w:u w:val="single"/>
    </w:rPr>
  </w:style>
  <w:style w:type="character" w:styleId="Mencinsinresolver">
    <w:name w:val="Unresolved Mention"/>
    <w:basedOn w:val="Fuentedeprrafopredeter"/>
    <w:uiPriority w:val="99"/>
    <w:semiHidden/>
    <w:unhideWhenUsed/>
    <w:rsid w:val="004B7933"/>
    <w:rPr>
      <w:color w:val="808080"/>
      <w:shd w:val="clear" w:color="auto" w:fill="E6E6E6"/>
    </w:rPr>
  </w:style>
  <w:style w:type="table" w:styleId="Tablaconcuadrcula">
    <w:name w:val="Table Grid"/>
    <w:basedOn w:val="Tablanormal"/>
    <w:uiPriority w:val="59"/>
    <w:rsid w:val="00584042"/>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visitado">
    <w:name w:val="FollowedHyperlink"/>
    <w:basedOn w:val="Fuentedeprrafopredeter"/>
    <w:uiPriority w:val="99"/>
    <w:semiHidden/>
    <w:unhideWhenUsed/>
    <w:rsid w:val="00AC562E"/>
    <w:rPr>
      <w:color w:val="800080" w:themeColor="followedHyperlink"/>
      <w:u w:val="single"/>
    </w:rPr>
  </w:style>
  <w:style w:type="paragraph" w:styleId="Encabezado">
    <w:name w:val="header"/>
    <w:basedOn w:val="Normal"/>
    <w:link w:val="EncabezadoCar"/>
    <w:uiPriority w:val="99"/>
    <w:unhideWhenUsed/>
    <w:rsid w:val="008B473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B4737"/>
  </w:style>
  <w:style w:type="paragraph" w:styleId="Piedepgina">
    <w:name w:val="footer"/>
    <w:basedOn w:val="Normal"/>
    <w:link w:val="PiedepginaCar"/>
    <w:uiPriority w:val="99"/>
    <w:unhideWhenUsed/>
    <w:rsid w:val="008B473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B4737"/>
  </w:style>
  <w:style w:type="paragraph" w:customStyle="1" w:styleId="Standard">
    <w:name w:val="Standard"/>
    <w:rsid w:val="008E5610"/>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rPr>
  </w:style>
  <w:style w:type="character" w:customStyle="1" w:styleId="InternetLink">
    <w:name w:val="Internet Link"/>
    <w:basedOn w:val="Fuentedeprrafopredeter"/>
    <w:uiPriority w:val="99"/>
    <w:rsid w:val="00A803EC"/>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1272514">
      <w:bodyDiv w:val="1"/>
      <w:marLeft w:val="0"/>
      <w:marRight w:val="0"/>
      <w:marTop w:val="0"/>
      <w:marBottom w:val="0"/>
      <w:divBdr>
        <w:top w:val="none" w:sz="0" w:space="0" w:color="auto"/>
        <w:left w:val="none" w:sz="0" w:space="0" w:color="auto"/>
        <w:bottom w:val="none" w:sz="0" w:space="0" w:color="auto"/>
        <w:right w:val="none" w:sz="0" w:space="0" w:color="auto"/>
      </w:divBdr>
    </w:div>
    <w:div w:id="115107175">
      <w:bodyDiv w:val="1"/>
      <w:marLeft w:val="0"/>
      <w:marRight w:val="0"/>
      <w:marTop w:val="0"/>
      <w:marBottom w:val="0"/>
      <w:divBdr>
        <w:top w:val="none" w:sz="0" w:space="0" w:color="auto"/>
        <w:left w:val="none" w:sz="0" w:space="0" w:color="auto"/>
        <w:bottom w:val="none" w:sz="0" w:space="0" w:color="auto"/>
        <w:right w:val="none" w:sz="0" w:space="0" w:color="auto"/>
      </w:divBdr>
    </w:div>
    <w:div w:id="201406385">
      <w:bodyDiv w:val="1"/>
      <w:marLeft w:val="0"/>
      <w:marRight w:val="0"/>
      <w:marTop w:val="0"/>
      <w:marBottom w:val="0"/>
      <w:divBdr>
        <w:top w:val="none" w:sz="0" w:space="0" w:color="auto"/>
        <w:left w:val="none" w:sz="0" w:space="0" w:color="auto"/>
        <w:bottom w:val="none" w:sz="0" w:space="0" w:color="auto"/>
        <w:right w:val="none" w:sz="0" w:space="0" w:color="auto"/>
      </w:divBdr>
    </w:div>
    <w:div w:id="269632447">
      <w:bodyDiv w:val="1"/>
      <w:marLeft w:val="0"/>
      <w:marRight w:val="0"/>
      <w:marTop w:val="0"/>
      <w:marBottom w:val="0"/>
      <w:divBdr>
        <w:top w:val="none" w:sz="0" w:space="0" w:color="auto"/>
        <w:left w:val="none" w:sz="0" w:space="0" w:color="auto"/>
        <w:bottom w:val="none" w:sz="0" w:space="0" w:color="auto"/>
        <w:right w:val="none" w:sz="0" w:space="0" w:color="auto"/>
      </w:divBdr>
    </w:div>
    <w:div w:id="433790213">
      <w:bodyDiv w:val="1"/>
      <w:marLeft w:val="0"/>
      <w:marRight w:val="0"/>
      <w:marTop w:val="0"/>
      <w:marBottom w:val="0"/>
      <w:divBdr>
        <w:top w:val="none" w:sz="0" w:space="0" w:color="auto"/>
        <w:left w:val="none" w:sz="0" w:space="0" w:color="auto"/>
        <w:bottom w:val="none" w:sz="0" w:space="0" w:color="auto"/>
        <w:right w:val="none" w:sz="0" w:space="0" w:color="auto"/>
      </w:divBdr>
    </w:div>
    <w:div w:id="438910433">
      <w:bodyDiv w:val="1"/>
      <w:marLeft w:val="0"/>
      <w:marRight w:val="0"/>
      <w:marTop w:val="0"/>
      <w:marBottom w:val="0"/>
      <w:divBdr>
        <w:top w:val="none" w:sz="0" w:space="0" w:color="auto"/>
        <w:left w:val="none" w:sz="0" w:space="0" w:color="auto"/>
        <w:bottom w:val="none" w:sz="0" w:space="0" w:color="auto"/>
        <w:right w:val="none" w:sz="0" w:space="0" w:color="auto"/>
      </w:divBdr>
    </w:div>
    <w:div w:id="452291871">
      <w:bodyDiv w:val="1"/>
      <w:marLeft w:val="0"/>
      <w:marRight w:val="0"/>
      <w:marTop w:val="0"/>
      <w:marBottom w:val="0"/>
      <w:divBdr>
        <w:top w:val="none" w:sz="0" w:space="0" w:color="auto"/>
        <w:left w:val="none" w:sz="0" w:space="0" w:color="auto"/>
        <w:bottom w:val="none" w:sz="0" w:space="0" w:color="auto"/>
        <w:right w:val="none" w:sz="0" w:space="0" w:color="auto"/>
      </w:divBdr>
    </w:div>
    <w:div w:id="820266501">
      <w:bodyDiv w:val="1"/>
      <w:marLeft w:val="0"/>
      <w:marRight w:val="0"/>
      <w:marTop w:val="0"/>
      <w:marBottom w:val="0"/>
      <w:divBdr>
        <w:top w:val="none" w:sz="0" w:space="0" w:color="auto"/>
        <w:left w:val="none" w:sz="0" w:space="0" w:color="auto"/>
        <w:bottom w:val="none" w:sz="0" w:space="0" w:color="auto"/>
        <w:right w:val="none" w:sz="0" w:space="0" w:color="auto"/>
      </w:divBdr>
    </w:div>
    <w:div w:id="842663790">
      <w:bodyDiv w:val="1"/>
      <w:marLeft w:val="0"/>
      <w:marRight w:val="0"/>
      <w:marTop w:val="0"/>
      <w:marBottom w:val="0"/>
      <w:divBdr>
        <w:top w:val="none" w:sz="0" w:space="0" w:color="auto"/>
        <w:left w:val="none" w:sz="0" w:space="0" w:color="auto"/>
        <w:bottom w:val="none" w:sz="0" w:space="0" w:color="auto"/>
        <w:right w:val="none" w:sz="0" w:space="0" w:color="auto"/>
      </w:divBdr>
    </w:div>
    <w:div w:id="1063334711">
      <w:bodyDiv w:val="1"/>
      <w:marLeft w:val="0"/>
      <w:marRight w:val="0"/>
      <w:marTop w:val="0"/>
      <w:marBottom w:val="0"/>
      <w:divBdr>
        <w:top w:val="none" w:sz="0" w:space="0" w:color="auto"/>
        <w:left w:val="none" w:sz="0" w:space="0" w:color="auto"/>
        <w:bottom w:val="none" w:sz="0" w:space="0" w:color="auto"/>
        <w:right w:val="none" w:sz="0" w:space="0" w:color="auto"/>
      </w:divBdr>
    </w:div>
    <w:div w:id="1075393567">
      <w:bodyDiv w:val="1"/>
      <w:marLeft w:val="0"/>
      <w:marRight w:val="0"/>
      <w:marTop w:val="0"/>
      <w:marBottom w:val="0"/>
      <w:divBdr>
        <w:top w:val="none" w:sz="0" w:space="0" w:color="auto"/>
        <w:left w:val="none" w:sz="0" w:space="0" w:color="auto"/>
        <w:bottom w:val="none" w:sz="0" w:space="0" w:color="auto"/>
        <w:right w:val="none" w:sz="0" w:space="0" w:color="auto"/>
      </w:divBdr>
    </w:div>
    <w:div w:id="1079903900">
      <w:bodyDiv w:val="1"/>
      <w:marLeft w:val="0"/>
      <w:marRight w:val="0"/>
      <w:marTop w:val="0"/>
      <w:marBottom w:val="0"/>
      <w:divBdr>
        <w:top w:val="none" w:sz="0" w:space="0" w:color="auto"/>
        <w:left w:val="none" w:sz="0" w:space="0" w:color="auto"/>
        <w:bottom w:val="none" w:sz="0" w:space="0" w:color="auto"/>
        <w:right w:val="none" w:sz="0" w:space="0" w:color="auto"/>
      </w:divBdr>
    </w:div>
    <w:div w:id="1148983304">
      <w:bodyDiv w:val="1"/>
      <w:marLeft w:val="0"/>
      <w:marRight w:val="0"/>
      <w:marTop w:val="0"/>
      <w:marBottom w:val="0"/>
      <w:divBdr>
        <w:top w:val="none" w:sz="0" w:space="0" w:color="auto"/>
        <w:left w:val="none" w:sz="0" w:space="0" w:color="auto"/>
        <w:bottom w:val="none" w:sz="0" w:space="0" w:color="auto"/>
        <w:right w:val="none" w:sz="0" w:space="0" w:color="auto"/>
      </w:divBdr>
    </w:div>
    <w:div w:id="1162694282">
      <w:bodyDiv w:val="1"/>
      <w:marLeft w:val="0"/>
      <w:marRight w:val="0"/>
      <w:marTop w:val="0"/>
      <w:marBottom w:val="0"/>
      <w:divBdr>
        <w:top w:val="none" w:sz="0" w:space="0" w:color="auto"/>
        <w:left w:val="none" w:sz="0" w:space="0" w:color="auto"/>
        <w:bottom w:val="none" w:sz="0" w:space="0" w:color="auto"/>
        <w:right w:val="none" w:sz="0" w:space="0" w:color="auto"/>
      </w:divBdr>
    </w:div>
    <w:div w:id="1440635965">
      <w:bodyDiv w:val="1"/>
      <w:marLeft w:val="0"/>
      <w:marRight w:val="0"/>
      <w:marTop w:val="0"/>
      <w:marBottom w:val="0"/>
      <w:divBdr>
        <w:top w:val="none" w:sz="0" w:space="0" w:color="auto"/>
        <w:left w:val="none" w:sz="0" w:space="0" w:color="auto"/>
        <w:bottom w:val="none" w:sz="0" w:space="0" w:color="auto"/>
        <w:right w:val="none" w:sz="0" w:space="0" w:color="auto"/>
      </w:divBdr>
    </w:div>
    <w:div w:id="1650864115">
      <w:bodyDiv w:val="1"/>
      <w:marLeft w:val="0"/>
      <w:marRight w:val="0"/>
      <w:marTop w:val="0"/>
      <w:marBottom w:val="0"/>
      <w:divBdr>
        <w:top w:val="none" w:sz="0" w:space="0" w:color="auto"/>
        <w:left w:val="none" w:sz="0" w:space="0" w:color="auto"/>
        <w:bottom w:val="none" w:sz="0" w:space="0" w:color="auto"/>
        <w:right w:val="none" w:sz="0" w:space="0" w:color="auto"/>
      </w:divBdr>
    </w:div>
    <w:div w:id="1902979485">
      <w:bodyDiv w:val="1"/>
      <w:marLeft w:val="0"/>
      <w:marRight w:val="0"/>
      <w:marTop w:val="0"/>
      <w:marBottom w:val="0"/>
      <w:divBdr>
        <w:top w:val="none" w:sz="0" w:space="0" w:color="auto"/>
        <w:left w:val="none" w:sz="0" w:space="0" w:color="auto"/>
        <w:bottom w:val="none" w:sz="0" w:space="0" w:color="auto"/>
        <w:right w:val="none" w:sz="0" w:space="0" w:color="auto"/>
      </w:divBdr>
    </w:div>
    <w:div w:id="1912426338">
      <w:bodyDiv w:val="1"/>
      <w:marLeft w:val="0"/>
      <w:marRight w:val="0"/>
      <w:marTop w:val="0"/>
      <w:marBottom w:val="0"/>
      <w:divBdr>
        <w:top w:val="none" w:sz="0" w:space="0" w:color="auto"/>
        <w:left w:val="none" w:sz="0" w:space="0" w:color="auto"/>
        <w:bottom w:val="none" w:sz="0" w:space="0" w:color="auto"/>
        <w:right w:val="none" w:sz="0" w:space="0" w:color="auto"/>
      </w:divBdr>
    </w:div>
    <w:div w:id="20600071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2.xml"/><Relationship Id="rId18" Type="http://schemas.openxmlformats.org/officeDocument/2006/relationships/header" Target="header1.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image" Target="media/image5.png"/><Relationship Id="rId25" Type="http://schemas.openxmlformats.org/officeDocument/2006/relationships/hyperlink" Target="https://doi.org/" TargetMode="External"/><Relationship Id="rId2" Type="http://schemas.openxmlformats.org/officeDocument/2006/relationships/numbering" Target="numbering.xml"/><Relationship Id="rId16" Type="http://schemas.openxmlformats.org/officeDocument/2006/relationships/image" Target="media/image4.gif"/><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hyperlink" Target="https://www.camara.cl/pley/pley_detalle.aspx?prmID=10987&amp;prmBoletin=10563-11" TargetMode="External"/><Relationship Id="rId5" Type="http://schemas.openxmlformats.org/officeDocument/2006/relationships/webSettings" Target="webSettings.xml"/><Relationship Id="rId15" Type="http://schemas.openxmlformats.org/officeDocument/2006/relationships/chart" Target="charts/chart4.xml"/><Relationship Id="rId23" Type="http://schemas.openxmlformats.org/officeDocument/2006/relationships/footer" Target="footer4.xml"/><Relationship Id="rId10" Type="http://schemas.openxmlformats.org/officeDocument/2006/relationships/chart" Target="charts/chart1.xm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3.xml"/><Relationship Id="rId22" Type="http://schemas.openxmlformats.org/officeDocument/2006/relationships/header" Target="header3.xml"/><Relationship Id="rId27"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Catalina\Dropbox\Inv.Paula%20E\Paper%20Clave%20Salud%20Mental\Versiones%20anteriores%20Clave\Figuras%20(anteriores%20a%20Oct%202013)\Tabla%20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Catalina\Dropbox\Inv.Paula%20E\Paper%20Clave%20Salud%20Mental\Tabla%202.xlsx" TargetMode="External"/></Relationships>
</file>

<file path=word/charts/_rels/chart3.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1.xml"/><Relationship Id="rId1" Type="http://schemas.microsoft.com/office/2011/relationships/chartStyle" Target="style1.xml"/></Relationships>
</file>

<file path=word/charts/_rels/chart4.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0.1866505991098939"/>
          <c:y val="0.16676939737833629"/>
          <c:w val="0.57607759899577771"/>
          <c:h val="0.38794717589435179"/>
        </c:manualLayout>
      </c:layout>
      <c:barChart>
        <c:barDir val="col"/>
        <c:grouping val="clustered"/>
        <c:varyColors val="0"/>
        <c:ser>
          <c:idx val="0"/>
          <c:order val="0"/>
          <c:tx>
            <c:strRef>
              <c:f>Hoja1!$B$1</c:f>
              <c:strCache>
                <c:ptCount val="1"/>
                <c:pt idx="0">
                  <c:v>AVISA</c:v>
                </c:pt>
              </c:strCache>
            </c:strRef>
          </c:tx>
          <c:spPr>
            <a:solidFill>
              <a:schemeClr val="tx1"/>
            </a:solidFill>
            <a:ln>
              <a:noFill/>
            </a:ln>
            <a:effectLst/>
          </c:spPr>
          <c:invertIfNegative val="0"/>
          <c:dPt>
            <c:idx val="0"/>
            <c:invertIfNegative val="0"/>
            <c:bubble3D val="0"/>
            <c:spPr>
              <a:pattFill prst="wdDnDiag">
                <a:fgClr>
                  <a:schemeClr val="tx1"/>
                </a:fgClr>
                <a:bgClr>
                  <a:schemeClr val="bg1"/>
                </a:bgClr>
              </a:pattFill>
              <a:ln>
                <a:noFill/>
              </a:ln>
              <a:effectLst/>
            </c:spPr>
            <c:extLst>
              <c:ext xmlns:c16="http://schemas.microsoft.com/office/drawing/2014/chart" uri="{C3380CC4-5D6E-409C-BE32-E72D297353CC}">
                <c16:uniqueId val="{00000001-1229-4644-9E18-40DF35FE056E}"/>
              </c:ext>
            </c:extLst>
          </c:dPt>
          <c:dPt>
            <c:idx val="1"/>
            <c:invertIfNegative val="0"/>
            <c:bubble3D val="0"/>
            <c:extLst>
              <c:ext xmlns:c16="http://schemas.microsoft.com/office/drawing/2014/chart" uri="{C3380CC4-5D6E-409C-BE32-E72D297353CC}">
                <c16:uniqueId val="{00000002-1229-4644-9E18-40DF35FE056E}"/>
              </c:ext>
            </c:extLst>
          </c:dPt>
          <c:dPt>
            <c:idx val="2"/>
            <c:invertIfNegative val="0"/>
            <c:bubble3D val="0"/>
            <c:extLst>
              <c:ext xmlns:c16="http://schemas.microsoft.com/office/drawing/2014/chart" uri="{C3380CC4-5D6E-409C-BE32-E72D297353CC}">
                <c16:uniqueId val="{00000003-1229-4644-9E18-40DF35FE056E}"/>
              </c:ext>
            </c:extLst>
          </c:dPt>
          <c:dPt>
            <c:idx val="3"/>
            <c:invertIfNegative val="0"/>
            <c:bubble3D val="0"/>
            <c:extLst>
              <c:ext xmlns:c16="http://schemas.microsoft.com/office/drawing/2014/chart" uri="{C3380CC4-5D6E-409C-BE32-E72D297353CC}">
                <c16:uniqueId val="{00000004-1229-4644-9E18-40DF35FE056E}"/>
              </c:ext>
            </c:extLst>
          </c:dPt>
          <c:cat>
            <c:strRef>
              <c:f>Hoja1!$A$2:$A$9</c:f>
              <c:strCache>
                <c:ptCount val="8"/>
                <c:pt idx="0">
                  <c:v>Condiciones Neuropsiquiátricas</c:v>
                </c:pt>
                <c:pt idx="1">
                  <c:v>Enfermedades Digestivas</c:v>
                </c:pt>
                <c:pt idx="2">
                  <c:v>Enfermedades Cardiovasculares</c:v>
                </c:pt>
                <c:pt idx="3">
                  <c:v>Lesiones NO intencionales</c:v>
                </c:pt>
                <c:pt idx="4">
                  <c:v>Enfermedades Musculoesqueléticas</c:v>
                </c:pt>
                <c:pt idx="5">
                  <c:v>Enfermedades de los Sentidos</c:v>
                </c:pt>
                <c:pt idx="6">
                  <c:v>Neoplasias Malignas</c:v>
                </c:pt>
                <c:pt idx="7">
                  <c:v>Lesiones Intencionales</c:v>
                </c:pt>
              </c:strCache>
            </c:strRef>
          </c:cat>
          <c:val>
            <c:numRef>
              <c:f>Hoja1!$B$2:$B$9</c:f>
              <c:numCache>
                <c:formatCode>#,##0</c:formatCode>
                <c:ptCount val="8"/>
                <c:pt idx="0">
                  <c:v>871758</c:v>
                </c:pt>
                <c:pt idx="1">
                  <c:v>594967</c:v>
                </c:pt>
                <c:pt idx="2">
                  <c:v>453940</c:v>
                </c:pt>
                <c:pt idx="3">
                  <c:v>291438</c:v>
                </c:pt>
                <c:pt idx="4">
                  <c:v>241709</c:v>
                </c:pt>
                <c:pt idx="5">
                  <c:v>241709</c:v>
                </c:pt>
                <c:pt idx="6">
                  <c:v>221529</c:v>
                </c:pt>
                <c:pt idx="7">
                  <c:v>142836</c:v>
                </c:pt>
              </c:numCache>
            </c:numRef>
          </c:val>
          <c:extLst>
            <c:ext xmlns:c16="http://schemas.microsoft.com/office/drawing/2014/chart" uri="{C3380CC4-5D6E-409C-BE32-E72D297353CC}">
              <c16:uniqueId val="{00000005-1229-4644-9E18-40DF35FE056E}"/>
            </c:ext>
          </c:extLst>
        </c:ser>
        <c:dLbls>
          <c:showLegendKey val="0"/>
          <c:showVal val="0"/>
          <c:showCatName val="0"/>
          <c:showSerName val="0"/>
          <c:showPercent val="0"/>
          <c:showBubbleSize val="0"/>
        </c:dLbls>
        <c:gapWidth val="247"/>
        <c:overlap val="-27"/>
        <c:axId val="165376768"/>
        <c:axId val="165378304"/>
      </c:barChart>
      <c:lineChart>
        <c:grouping val="standard"/>
        <c:varyColors val="0"/>
        <c:ser>
          <c:idx val="1"/>
          <c:order val="1"/>
          <c:tx>
            <c:strRef>
              <c:f>Hoja1!$C$1</c:f>
              <c:strCache>
                <c:ptCount val="1"/>
                <c:pt idx="0">
                  <c:v>%</c:v>
                </c:pt>
              </c:strCache>
            </c:strRef>
          </c:tx>
          <c:spPr>
            <a:ln w="28575" cap="rnd">
              <a:solidFill>
                <a:schemeClr val="tx1">
                  <a:lumMod val="50000"/>
                  <a:lumOff val="50000"/>
                </a:schemeClr>
              </a:solidFill>
              <a:round/>
            </a:ln>
            <a:effectLst/>
          </c:spPr>
          <c:marker>
            <c:symbol val="none"/>
          </c:marker>
          <c:cat>
            <c:strRef>
              <c:f>Hoja1!$A$2:$A$9</c:f>
              <c:strCache>
                <c:ptCount val="8"/>
                <c:pt idx="0">
                  <c:v>Condiciones Neuropsiquiátricas</c:v>
                </c:pt>
                <c:pt idx="1">
                  <c:v>Enfermedades Digestivas</c:v>
                </c:pt>
                <c:pt idx="2">
                  <c:v>Enfermedades Cardiovasculares</c:v>
                </c:pt>
                <c:pt idx="3">
                  <c:v>Lesiones NO intencionales</c:v>
                </c:pt>
                <c:pt idx="4">
                  <c:v>Enfermedades Musculoesqueléticas</c:v>
                </c:pt>
                <c:pt idx="5">
                  <c:v>Enfermedades de los Sentidos</c:v>
                </c:pt>
                <c:pt idx="6">
                  <c:v>Neoplasias Malignas</c:v>
                </c:pt>
                <c:pt idx="7">
                  <c:v>Lesiones Intencionales</c:v>
                </c:pt>
              </c:strCache>
            </c:strRef>
          </c:cat>
          <c:val>
            <c:numRef>
              <c:f>Hoja1!$C$2:$C$9</c:f>
              <c:numCache>
                <c:formatCode>0%</c:formatCode>
                <c:ptCount val="8"/>
                <c:pt idx="0">
                  <c:v>0.23200000000000001</c:v>
                </c:pt>
                <c:pt idx="1">
                  <c:v>0.158</c:v>
                </c:pt>
                <c:pt idx="2">
                  <c:v>0.121</c:v>
                </c:pt>
                <c:pt idx="3">
                  <c:v>7.6999999999999999E-2</c:v>
                </c:pt>
                <c:pt idx="4">
                  <c:v>7.6999999999999999E-2</c:v>
                </c:pt>
                <c:pt idx="5">
                  <c:v>6.4000000000000001E-2</c:v>
                </c:pt>
                <c:pt idx="6">
                  <c:v>5.8999999999999997E-2</c:v>
                </c:pt>
                <c:pt idx="7">
                  <c:v>3.7999999999999999E-2</c:v>
                </c:pt>
              </c:numCache>
            </c:numRef>
          </c:val>
          <c:smooth val="0"/>
          <c:extLst>
            <c:ext xmlns:c16="http://schemas.microsoft.com/office/drawing/2014/chart" uri="{C3380CC4-5D6E-409C-BE32-E72D297353CC}">
              <c16:uniqueId val="{00000006-1229-4644-9E18-40DF35FE056E}"/>
            </c:ext>
          </c:extLst>
        </c:ser>
        <c:dLbls>
          <c:showLegendKey val="0"/>
          <c:showVal val="0"/>
          <c:showCatName val="0"/>
          <c:showSerName val="0"/>
          <c:showPercent val="0"/>
          <c:showBubbleSize val="0"/>
        </c:dLbls>
        <c:marker val="1"/>
        <c:smooth val="0"/>
        <c:axId val="165386880"/>
        <c:axId val="165384960"/>
      </c:lineChart>
      <c:catAx>
        <c:axId val="1653767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CL"/>
          </a:p>
        </c:txPr>
        <c:crossAx val="165378304"/>
        <c:crosses val="autoZero"/>
        <c:auto val="1"/>
        <c:lblAlgn val="ctr"/>
        <c:lblOffset val="100"/>
        <c:noMultiLvlLbl val="0"/>
      </c:catAx>
      <c:valAx>
        <c:axId val="165378304"/>
        <c:scaling>
          <c:orientation val="minMax"/>
        </c:scaling>
        <c:delete val="0"/>
        <c:axPos val="l"/>
        <c:title>
          <c:tx>
            <c:rich>
              <a:bodyPr rot="-540000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r>
                  <a:rPr lang="es-ES" sz="1000">
                    <a:solidFill>
                      <a:sysClr val="windowText" lastClr="000000"/>
                    </a:solidFill>
                    <a:latin typeface="Arial" panose="020B0604020202020204" pitchFamily="34" charset="0"/>
                    <a:cs typeface="Arial" panose="020B0604020202020204" pitchFamily="34" charset="0"/>
                  </a:rPr>
                  <a:t>AVISA</a:t>
                </a:r>
              </a:p>
            </c:rich>
          </c:tx>
          <c:layout>
            <c:manualLayout>
              <c:xMode val="edge"/>
              <c:yMode val="edge"/>
              <c:x val="6.1189273079995436E-2"/>
              <c:y val="0.28488324346276206"/>
            </c:manualLayout>
          </c:layout>
          <c:overlay val="0"/>
          <c:spPr>
            <a:noFill/>
            <a:ln>
              <a:noFill/>
            </a:ln>
            <a:effectLst/>
          </c:sp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CL"/>
          </a:p>
        </c:txPr>
        <c:crossAx val="165376768"/>
        <c:crosses val="autoZero"/>
        <c:crossBetween val="between"/>
        <c:dispUnits>
          <c:custUnit val="10000"/>
          <c:dispUnitsLbl>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CL"/>
              </a:p>
            </c:txPr>
          </c:dispUnitsLbl>
        </c:dispUnits>
      </c:valAx>
      <c:valAx>
        <c:axId val="165384960"/>
        <c:scaling>
          <c:orientation val="minMax"/>
          <c:min val="0"/>
        </c:scaling>
        <c:delete val="0"/>
        <c:axPos val="r"/>
        <c:title>
          <c:tx>
            <c:rich>
              <a:bodyPr rot="-540000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r>
                  <a:rPr lang="es-ES" sz="1000" b="0" i="0" baseline="0">
                    <a:solidFill>
                      <a:sysClr val="windowText" lastClr="000000"/>
                    </a:solidFill>
                    <a:effectLst/>
                    <a:latin typeface="Arial" panose="020B0604020202020204" pitchFamily="34" charset="0"/>
                    <a:cs typeface="Arial" panose="020B0604020202020204" pitchFamily="34" charset="0"/>
                  </a:rPr>
                  <a:t>Enfermos mayores de 15 años</a:t>
                </a:r>
                <a:endParaRPr lang="es-ES" sz="1000">
                  <a:solidFill>
                    <a:sysClr val="windowText" lastClr="000000"/>
                  </a:solidFill>
                  <a:effectLst/>
                  <a:latin typeface="Arial" panose="020B0604020202020204" pitchFamily="34" charset="0"/>
                  <a:cs typeface="Arial" panose="020B0604020202020204" pitchFamily="34" charset="0"/>
                </a:endParaRPr>
              </a:p>
              <a:p>
                <a:pPr marL="0" marR="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endParaRPr lang="es-ES"/>
              </a:p>
            </c:rich>
          </c:tx>
          <c:layout>
            <c:manualLayout>
              <c:xMode val="edge"/>
              <c:yMode val="edge"/>
              <c:x val="0.83456752253794364"/>
              <c:y val="9.0459279982552321E-2"/>
            </c:manualLayout>
          </c:layout>
          <c:overlay val="0"/>
          <c:spPr>
            <a:noFill/>
            <a:ln>
              <a:noFill/>
            </a:ln>
            <a:effectLst/>
          </c:sp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CL"/>
          </a:p>
        </c:txPr>
        <c:crossAx val="165386880"/>
        <c:crosses val="max"/>
        <c:crossBetween val="between"/>
      </c:valAx>
      <c:catAx>
        <c:axId val="165386880"/>
        <c:scaling>
          <c:orientation val="minMax"/>
        </c:scaling>
        <c:delete val="1"/>
        <c:axPos val="b"/>
        <c:numFmt formatCode="General" sourceLinked="1"/>
        <c:majorTickMark val="none"/>
        <c:minorTickMark val="none"/>
        <c:tickLblPos val="nextTo"/>
        <c:crossAx val="165384960"/>
        <c:crosses val="autoZero"/>
        <c:auto val="1"/>
        <c:lblAlgn val="ctr"/>
        <c:lblOffset val="100"/>
        <c:noMultiLvlLbl val="0"/>
      </c:catAx>
      <c:spPr>
        <a:noFill/>
        <a:ln>
          <a:noFill/>
        </a:ln>
        <a:effectLst/>
      </c:spPr>
    </c:plotArea>
    <c:legend>
      <c:legendPos val="b"/>
      <c:legendEntry>
        <c:idx val="0"/>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CL"/>
          </a:p>
        </c:txPr>
      </c:legendEntry>
      <c:legendEntry>
        <c:idx val="1"/>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s-CL"/>
          </a:p>
        </c:txPr>
      </c:legendEntry>
      <c:layout>
        <c:manualLayout>
          <c:xMode val="edge"/>
          <c:yMode val="edge"/>
          <c:x val="0.39607166495492413"/>
          <c:y val="2.7558641783950233E-2"/>
          <c:w val="0.21249416866369963"/>
          <c:h val="9.4051156991202867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Hoja1!$B$11</c:f>
              <c:strCache>
                <c:ptCount val="1"/>
                <c:pt idx="0">
                  <c:v>Hombres</c:v>
                </c:pt>
              </c:strCache>
            </c:strRef>
          </c:tx>
          <c:spPr>
            <a:ln w="28575" cap="rnd">
              <a:solidFill>
                <a:schemeClr val="tx1"/>
              </a:solidFill>
              <a:prstDash val="solid"/>
              <a:round/>
            </a:ln>
            <a:effectLst/>
          </c:spPr>
          <c:marker>
            <c:symbol val="none"/>
          </c:marker>
          <c:cat>
            <c:numRef>
              <c:f>Hoja1!$A$12:$A$21</c:f>
              <c:numCache>
                <c:formatCode>General</c:formatCode>
                <c:ptCount val="10"/>
                <c:pt idx="0">
                  <c:v>2000</c:v>
                </c:pt>
                <c:pt idx="1">
                  <c:v>2001</c:v>
                </c:pt>
                <c:pt idx="2">
                  <c:v>2002</c:v>
                </c:pt>
                <c:pt idx="3">
                  <c:v>2003</c:v>
                </c:pt>
                <c:pt idx="4">
                  <c:v>2004</c:v>
                </c:pt>
                <c:pt idx="5">
                  <c:v>2005</c:v>
                </c:pt>
                <c:pt idx="6">
                  <c:v>2006</c:v>
                </c:pt>
                <c:pt idx="7">
                  <c:v>2007</c:v>
                </c:pt>
                <c:pt idx="8">
                  <c:v>2008</c:v>
                </c:pt>
                <c:pt idx="9">
                  <c:v>2009</c:v>
                </c:pt>
              </c:numCache>
            </c:numRef>
          </c:cat>
          <c:val>
            <c:numRef>
              <c:f>Hoja1!$B$12:$B$21</c:f>
              <c:numCache>
                <c:formatCode>General</c:formatCode>
                <c:ptCount val="10"/>
                <c:pt idx="0" formatCode="0.0">
                  <c:v>16.600000000000001</c:v>
                </c:pt>
                <c:pt idx="1">
                  <c:v>18.100000000000001</c:v>
                </c:pt>
                <c:pt idx="2">
                  <c:v>17.399999999999999</c:v>
                </c:pt>
                <c:pt idx="3">
                  <c:v>17.8</c:v>
                </c:pt>
                <c:pt idx="4">
                  <c:v>18.5</c:v>
                </c:pt>
                <c:pt idx="5">
                  <c:v>17.399999999999999</c:v>
                </c:pt>
                <c:pt idx="6">
                  <c:v>18.399999999999999</c:v>
                </c:pt>
                <c:pt idx="7">
                  <c:v>19</c:v>
                </c:pt>
                <c:pt idx="8">
                  <c:v>21</c:v>
                </c:pt>
                <c:pt idx="9">
                  <c:v>20.6</c:v>
                </c:pt>
              </c:numCache>
            </c:numRef>
          </c:val>
          <c:smooth val="0"/>
          <c:extLst>
            <c:ext xmlns:c16="http://schemas.microsoft.com/office/drawing/2014/chart" uri="{C3380CC4-5D6E-409C-BE32-E72D297353CC}">
              <c16:uniqueId val="{00000000-26B9-478E-91BE-5BC09EADE6CF}"/>
            </c:ext>
          </c:extLst>
        </c:ser>
        <c:ser>
          <c:idx val="1"/>
          <c:order val="1"/>
          <c:tx>
            <c:strRef>
              <c:f>Hoja1!$C$11</c:f>
              <c:strCache>
                <c:ptCount val="1"/>
                <c:pt idx="0">
                  <c:v>Mujeres</c:v>
                </c:pt>
              </c:strCache>
            </c:strRef>
          </c:tx>
          <c:spPr>
            <a:ln w="28575" cap="rnd">
              <a:solidFill>
                <a:schemeClr val="tx1"/>
              </a:solidFill>
              <a:prstDash val="sysDot"/>
              <a:round/>
            </a:ln>
            <a:effectLst/>
          </c:spPr>
          <c:marker>
            <c:symbol val="none"/>
          </c:marker>
          <c:cat>
            <c:numRef>
              <c:f>Hoja1!$A$12:$A$21</c:f>
              <c:numCache>
                <c:formatCode>General</c:formatCode>
                <c:ptCount val="10"/>
                <c:pt idx="0">
                  <c:v>2000</c:v>
                </c:pt>
                <c:pt idx="1">
                  <c:v>2001</c:v>
                </c:pt>
                <c:pt idx="2">
                  <c:v>2002</c:v>
                </c:pt>
                <c:pt idx="3">
                  <c:v>2003</c:v>
                </c:pt>
                <c:pt idx="4">
                  <c:v>2004</c:v>
                </c:pt>
                <c:pt idx="5">
                  <c:v>2005</c:v>
                </c:pt>
                <c:pt idx="6">
                  <c:v>2006</c:v>
                </c:pt>
                <c:pt idx="7">
                  <c:v>2007</c:v>
                </c:pt>
                <c:pt idx="8">
                  <c:v>2008</c:v>
                </c:pt>
                <c:pt idx="9">
                  <c:v>2009</c:v>
                </c:pt>
              </c:numCache>
            </c:numRef>
          </c:cat>
          <c:val>
            <c:numRef>
              <c:f>Hoja1!$C$12:$C$21</c:f>
              <c:numCache>
                <c:formatCode>General</c:formatCode>
                <c:ptCount val="10"/>
                <c:pt idx="0">
                  <c:v>2.7</c:v>
                </c:pt>
                <c:pt idx="1">
                  <c:v>3</c:v>
                </c:pt>
                <c:pt idx="2">
                  <c:v>3.1</c:v>
                </c:pt>
                <c:pt idx="3">
                  <c:v>3.1</c:v>
                </c:pt>
                <c:pt idx="4">
                  <c:v>3.2</c:v>
                </c:pt>
                <c:pt idx="5">
                  <c:v>3.5</c:v>
                </c:pt>
                <c:pt idx="6">
                  <c:v>3.6</c:v>
                </c:pt>
                <c:pt idx="7">
                  <c:v>4.3</c:v>
                </c:pt>
                <c:pt idx="8">
                  <c:v>5</c:v>
                </c:pt>
                <c:pt idx="9">
                  <c:v>5</c:v>
                </c:pt>
              </c:numCache>
            </c:numRef>
          </c:val>
          <c:smooth val="0"/>
          <c:extLst>
            <c:ext xmlns:c16="http://schemas.microsoft.com/office/drawing/2014/chart" uri="{C3380CC4-5D6E-409C-BE32-E72D297353CC}">
              <c16:uniqueId val="{00000001-26B9-478E-91BE-5BC09EADE6CF}"/>
            </c:ext>
          </c:extLst>
        </c:ser>
        <c:ser>
          <c:idx val="2"/>
          <c:order val="2"/>
          <c:tx>
            <c:strRef>
              <c:f>Hoja1!$D$11</c:f>
              <c:strCache>
                <c:ptCount val="1"/>
                <c:pt idx="0">
                  <c:v>Ambos sexos</c:v>
                </c:pt>
              </c:strCache>
            </c:strRef>
          </c:tx>
          <c:spPr>
            <a:ln w="28575" cap="rnd">
              <a:solidFill>
                <a:schemeClr val="tx1"/>
              </a:solidFill>
              <a:prstDash val="dash"/>
              <a:round/>
            </a:ln>
            <a:effectLst/>
          </c:spPr>
          <c:marker>
            <c:symbol val="none"/>
          </c:marker>
          <c:cat>
            <c:numRef>
              <c:f>Hoja1!$A$12:$A$21</c:f>
              <c:numCache>
                <c:formatCode>General</c:formatCode>
                <c:ptCount val="10"/>
                <c:pt idx="0">
                  <c:v>2000</c:v>
                </c:pt>
                <c:pt idx="1">
                  <c:v>2001</c:v>
                </c:pt>
                <c:pt idx="2">
                  <c:v>2002</c:v>
                </c:pt>
                <c:pt idx="3">
                  <c:v>2003</c:v>
                </c:pt>
                <c:pt idx="4">
                  <c:v>2004</c:v>
                </c:pt>
                <c:pt idx="5">
                  <c:v>2005</c:v>
                </c:pt>
                <c:pt idx="6">
                  <c:v>2006</c:v>
                </c:pt>
                <c:pt idx="7">
                  <c:v>2007</c:v>
                </c:pt>
                <c:pt idx="8">
                  <c:v>2008</c:v>
                </c:pt>
                <c:pt idx="9">
                  <c:v>2009</c:v>
                </c:pt>
              </c:numCache>
            </c:numRef>
          </c:cat>
          <c:val>
            <c:numRef>
              <c:f>Hoja1!$D$12:$D$21</c:f>
              <c:numCache>
                <c:formatCode>General</c:formatCode>
                <c:ptCount val="10"/>
                <c:pt idx="0">
                  <c:v>9.6</c:v>
                </c:pt>
                <c:pt idx="1">
                  <c:v>10.4</c:v>
                </c:pt>
                <c:pt idx="2">
                  <c:v>10.199999999999999</c:v>
                </c:pt>
                <c:pt idx="3">
                  <c:v>10.4</c:v>
                </c:pt>
                <c:pt idx="4">
                  <c:v>10.8</c:v>
                </c:pt>
                <c:pt idx="5">
                  <c:v>10.3</c:v>
                </c:pt>
                <c:pt idx="6">
                  <c:v>10.9</c:v>
                </c:pt>
                <c:pt idx="7">
                  <c:v>11.6</c:v>
                </c:pt>
                <c:pt idx="8">
                  <c:v>12.9</c:v>
                </c:pt>
                <c:pt idx="9">
                  <c:v>12.7</c:v>
                </c:pt>
              </c:numCache>
            </c:numRef>
          </c:val>
          <c:smooth val="0"/>
          <c:extLst>
            <c:ext xmlns:c16="http://schemas.microsoft.com/office/drawing/2014/chart" uri="{C3380CC4-5D6E-409C-BE32-E72D297353CC}">
              <c16:uniqueId val="{00000002-26B9-478E-91BE-5BC09EADE6CF}"/>
            </c:ext>
          </c:extLst>
        </c:ser>
        <c:dLbls>
          <c:showLegendKey val="0"/>
          <c:showVal val="0"/>
          <c:showCatName val="0"/>
          <c:showSerName val="0"/>
          <c:showPercent val="0"/>
          <c:showBubbleSize val="0"/>
        </c:dLbls>
        <c:smooth val="0"/>
        <c:axId val="169017728"/>
        <c:axId val="169019264"/>
      </c:lineChart>
      <c:catAx>
        <c:axId val="1690177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CL"/>
          </a:p>
        </c:txPr>
        <c:crossAx val="169019264"/>
        <c:crossesAt val="0"/>
        <c:auto val="1"/>
        <c:lblAlgn val="ctr"/>
        <c:lblOffset val="100"/>
        <c:noMultiLvlLbl val="0"/>
      </c:catAx>
      <c:valAx>
        <c:axId val="169019264"/>
        <c:scaling>
          <c:orientation val="minMax"/>
          <c:max val="25"/>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ES" sz="900">
                    <a:solidFill>
                      <a:sysClr val="windowText" lastClr="000000"/>
                    </a:solidFill>
                    <a:latin typeface="Arial" panose="020B0604020202020204" pitchFamily="34" charset="0"/>
                    <a:cs typeface="Arial" panose="020B0604020202020204" pitchFamily="34" charset="0"/>
                  </a:rPr>
                  <a:t>Tasa de suicidio</a:t>
                </a:r>
              </a:p>
            </c:rich>
          </c:tx>
          <c:overlay val="0"/>
          <c:spPr>
            <a:noFill/>
            <a:ln>
              <a:noFill/>
            </a:ln>
            <a:effectLst/>
          </c:spPr>
        </c:title>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CL"/>
          </a:p>
        </c:txPr>
        <c:crossAx val="169017728"/>
        <c:crosses val="autoZero"/>
        <c:crossBetween val="between"/>
        <c:majorUnit val="5"/>
        <c:minorUnit val="1"/>
      </c:valAx>
      <c:spPr>
        <a:noFill/>
        <a:ln>
          <a:noFill/>
        </a:ln>
        <a:effectLst/>
      </c:spPr>
    </c:plotArea>
    <c:legend>
      <c:legendPos val="b"/>
      <c:layout>
        <c:manualLayout>
          <c:xMode val="edge"/>
          <c:yMode val="edge"/>
          <c:x val="0.17660236220472442"/>
          <c:y val="5.7815689705453485E-4"/>
          <c:w val="0.68568416447944003"/>
          <c:h val="7.8125546806649168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showDLblsOverMax val="0"/>
  </c:chart>
  <c:spPr>
    <a:solidFill>
      <a:schemeClr val="bg1"/>
    </a:solidFill>
    <a:ln w="9525" cap="flat" cmpd="sng" algn="ctr">
      <a:noFill/>
      <a:round/>
    </a:ln>
    <a:effectLst/>
  </c:spPr>
  <c:txPr>
    <a:bodyPr/>
    <a:lstStyle/>
    <a:p>
      <a:pPr>
        <a:defRPr/>
      </a:pPr>
      <a:endParaRPr lang="es-CL"/>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lineChart>
        <c:grouping val="standard"/>
        <c:varyColors val="0"/>
        <c:ser>
          <c:idx val="0"/>
          <c:order val="0"/>
          <c:tx>
            <c:strRef>
              <c:f>Hoja1!$B$1</c:f>
              <c:strCache>
                <c:ptCount val="1"/>
                <c:pt idx="0">
                  <c:v>Total</c:v>
                </c:pt>
              </c:strCache>
            </c:strRef>
          </c:tx>
          <c:spPr>
            <a:ln w="28575" cap="rnd">
              <a:solidFill>
                <a:schemeClr val="dk1">
                  <a:tint val="88500"/>
                </a:schemeClr>
              </a:solidFill>
              <a:round/>
            </a:ln>
            <a:effectLst/>
          </c:spPr>
          <c:marker>
            <c:symbol val="none"/>
          </c:marker>
          <c:cat>
            <c:numRef>
              <c:f>Hoja1!$A$2:$A$12</c:f>
              <c:numCache>
                <c:formatCode>General</c:formatCode>
                <c:ptCount val="11"/>
                <c:pt idx="0">
                  <c:v>2005</c:v>
                </c:pt>
                <c:pt idx="1">
                  <c:v>2006</c:v>
                </c:pt>
                <c:pt idx="2">
                  <c:v>2007</c:v>
                </c:pt>
                <c:pt idx="3">
                  <c:v>2008</c:v>
                </c:pt>
                <c:pt idx="4">
                  <c:v>2009</c:v>
                </c:pt>
                <c:pt idx="5">
                  <c:v>2010</c:v>
                </c:pt>
                <c:pt idx="6">
                  <c:v>2011</c:v>
                </c:pt>
                <c:pt idx="7">
                  <c:v>2012</c:v>
                </c:pt>
                <c:pt idx="8">
                  <c:v>2013</c:v>
                </c:pt>
                <c:pt idx="9">
                  <c:v>2014</c:v>
                </c:pt>
                <c:pt idx="10">
                  <c:v>2015</c:v>
                </c:pt>
              </c:numCache>
            </c:numRef>
          </c:cat>
          <c:val>
            <c:numRef>
              <c:f>Hoja1!$B$2:$B$12</c:f>
              <c:numCache>
                <c:formatCode>General</c:formatCode>
                <c:ptCount val="11"/>
                <c:pt idx="0">
                  <c:v>1680</c:v>
                </c:pt>
                <c:pt idx="1">
                  <c:v>1795</c:v>
                </c:pt>
                <c:pt idx="2">
                  <c:v>1926</c:v>
                </c:pt>
                <c:pt idx="3">
                  <c:v>2166</c:v>
                </c:pt>
                <c:pt idx="4">
                  <c:v>2148</c:v>
                </c:pt>
                <c:pt idx="5">
                  <c:v>2001</c:v>
                </c:pt>
                <c:pt idx="6">
                  <c:v>2027</c:v>
                </c:pt>
                <c:pt idx="7">
                  <c:v>1841</c:v>
                </c:pt>
                <c:pt idx="8">
                  <c:v>1738</c:v>
                </c:pt>
                <c:pt idx="9">
                  <c:v>1789</c:v>
                </c:pt>
                <c:pt idx="10">
                  <c:v>1835</c:v>
                </c:pt>
              </c:numCache>
            </c:numRef>
          </c:val>
          <c:smooth val="0"/>
          <c:extLst>
            <c:ext xmlns:c16="http://schemas.microsoft.com/office/drawing/2014/chart" uri="{C3380CC4-5D6E-409C-BE32-E72D297353CC}">
              <c16:uniqueId val="{00000000-B3ED-43ED-A240-880019524EEE}"/>
            </c:ext>
          </c:extLst>
        </c:ser>
        <c:ser>
          <c:idx val="1"/>
          <c:order val="1"/>
          <c:tx>
            <c:strRef>
              <c:f>Hoja1!$C$1</c:f>
              <c:strCache>
                <c:ptCount val="1"/>
                <c:pt idx="0">
                  <c:v>Hombres</c:v>
                </c:pt>
              </c:strCache>
            </c:strRef>
          </c:tx>
          <c:spPr>
            <a:ln w="28575" cap="rnd">
              <a:solidFill>
                <a:schemeClr val="dk1">
                  <a:tint val="55000"/>
                </a:schemeClr>
              </a:solidFill>
              <a:round/>
            </a:ln>
            <a:effectLst/>
          </c:spPr>
          <c:marker>
            <c:symbol val="none"/>
          </c:marker>
          <c:cat>
            <c:numRef>
              <c:f>Hoja1!$A$2:$A$12</c:f>
              <c:numCache>
                <c:formatCode>General</c:formatCode>
                <c:ptCount val="11"/>
                <c:pt idx="0">
                  <c:v>2005</c:v>
                </c:pt>
                <c:pt idx="1">
                  <c:v>2006</c:v>
                </c:pt>
                <c:pt idx="2">
                  <c:v>2007</c:v>
                </c:pt>
                <c:pt idx="3">
                  <c:v>2008</c:v>
                </c:pt>
                <c:pt idx="4">
                  <c:v>2009</c:v>
                </c:pt>
                <c:pt idx="5">
                  <c:v>2010</c:v>
                </c:pt>
                <c:pt idx="6">
                  <c:v>2011</c:v>
                </c:pt>
                <c:pt idx="7">
                  <c:v>2012</c:v>
                </c:pt>
                <c:pt idx="8">
                  <c:v>2013</c:v>
                </c:pt>
                <c:pt idx="9">
                  <c:v>2014</c:v>
                </c:pt>
                <c:pt idx="10">
                  <c:v>2015</c:v>
                </c:pt>
              </c:numCache>
            </c:numRef>
          </c:cat>
          <c:val>
            <c:numRef>
              <c:f>Hoja1!$C$2:$C$12</c:f>
              <c:numCache>
                <c:formatCode>General</c:formatCode>
                <c:ptCount val="11"/>
                <c:pt idx="0">
                  <c:v>1401</c:v>
                </c:pt>
                <c:pt idx="1">
                  <c:v>1498</c:v>
                </c:pt>
                <c:pt idx="2">
                  <c:v>1562</c:v>
                </c:pt>
                <c:pt idx="3">
                  <c:v>1741</c:v>
                </c:pt>
                <c:pt idx="4">
                  <c:v>1724</c:v>
                </c:pt>
                <c:pt idx="5">
                  <c:v>1618</c:v>
                </c:pt>
                <c:pt idx="6">
                  <c:v>1657</c:v>
                </c:pt>
                <c:pt idx="7">
                  <c:v>1510</c:v>
                </c:pt>
                <c:pt idx="8">
                  <c:v>1420</c:v>
                </c:pt>
                <c:pt idx="9">
                  <c:v>1475</c:v>
                </c:pt>
                <c:pt idx="10">
                  <c:v>1457</c:v>
                </c:pt>
              </c:numCache>
            </c:numRef>
          </c:val>
          <c:smooth val="0"/>
          <c:extLst>
            <c:ext xmlns:c16="http://schemas.microsoft.com/office/drawing/2014/chart" uri="{C3380CC4-5D6E-409C-BE32-E72D297353CC}">
              <c16:uniqueId val="{00000001-B3ED-43ED-A240-880019524EEE}"/>
            </c:ext>
          </c:extLst>
        </c:ser>
        <c:ser>
          <c:idx val="2"/>
          <c:order val="2"/>
          <c:tx>
            <c:strRef>
              <c:f>Hoja1!$D$1</c:f>
              <c:strCache>
                <c:ptCount val="1"/>
                <c:pt idx="0">
                  <c:v>Mujeres</c:v>
                </c:pt>
              </c:strCache>
            </c:strRef>
          </c:tx>
          <c:spPr>
            <a:ln w="28575" cap="rnd">
              <a:solidFill>
                <a:schemeClr val="dk1">
                  <a:tint val="75000"/>
                </a:schemeClr>
              </a:solidFill>
              <a:round/>
            </a:ln>
            <a:effectLst/>
          </c:spPr>
          <c:marker>
            <c:symbol val="none"/>
          </c:marker>
          <c:cat>
            <c:numRef>
              <c:f>Hoja1!$A$2:$A$12</c:f>
              <c:numCache>
                <c:formatCode>General</c:formatCode>
                <c:ptCount val="11"/>
                <c:pt idx="0">
                  <c:v>2005</c:v>
                </c:pt>
                <c:pt idx="1">
                  <c:v>2006</c:v>
                </c:pt>
                <c:pt idx="2">
                  <c:v>2007</c:v>
                </c:pt>
                <c:pt idx="3">
                  <c:v>2008</c:v>
                </c:pt>
                <c:pt idx="4">
                  <c:v>2009</c:v>
                </c:pt>
                <c:pt idx="5">
                  <c:v>2010</c:v>
                </c:pt>
                <c:pt idx="6">
                  <c:v>2011</c:v>
                </c:pt>
                <c:pt idx="7">
                  <c:v>2012</c:v>
                </c:pt>
                <c:pt idx="8">
                  <c:v>2013</c:v>
                </c:pt>
                <c:pt idx="9">
                  <c:v>2014</c:v>
                </c:pt>
                <c:pt idx="10">
                  <c:v>2015</c:v>
                </c:pt>
              </c:numCache>
            </c:numRef>
          </c:cat>
          <c:val>
            <c:numRef>
              <c:f>Hoja1!$D$2:$D$12</c:f>
              <c:numCache>
                <c:formatCode>General</c:formatCode>
                <c:ptCount val="11"/>
                <c:pt idx="0">
                  <c:v>279</c:v>
                </c:pt>
                <c:pt idx="1">
                  <c:v>297</c:v>
                </c:pt>
                <c:pt idx="2">
                  <c:v>364</c:v>
                </c:pt>
                <c:pt idx="3">
                  <c:v>425</c:v>
                </c:pt>
                <c:pt idx="4">
                  <c:v>424</c:v>
                </c:pt>
                <c:pt idx="5">
                  <c:v>383</c:v>
                </c:pt>
                <c:pt idx="6">
                  <c:v>370</c:v>
                </c:pt>
                <c:pt idx="7">
                  <c:v>331</c:v>
                </c:pt>
                <c:pt idx="8">
                  <c:v>318</c:v>
                </c:pt>
                <c:pt idx="9">
                  <c:v>314</c:v>
                </c:pt>
                <c:pt idx="10">
                  <c:v>378</c:v>
                </c:pt>
              </c:numCache>
            </c:numRef>
          </c:val>
          <c:smooth val="0"/>
          <c:extLst>
            <c:ext xmlns:c16="http://schemas.microsoft.com/office/drawing/2014/chart" uri="{C3380CC4-5D6E-409C-BE32-E72D297353CC}">
              <c16:uniqueId val="{00000002-B3ED-43ED-A240-880019524EEE}"/>
            </c:ext>
          </c:extLst>
        </c:ser>
        <c:dLbls>
          <c:showLegendKey val="0"/>
          <c:showVal val="0"/>
          <c:showCatName val="0"/>
          <c:showSerName val="0"/>
          <c:showPercent val="0"/>
          <c:showBubbleSize val="0"/>
        </c:dLbls>
        <c:smooth val="0"/>
        <c:axId val="477489624"/>
        <c:axId val="482270840"/>
      </c:lineChart>
      <c:catAx>
        <c:axId val="4774896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482270840"/>
        <c:crosses val="autoZero"/>
        <c:auto val="1"/>
        <c:lblAlgn val="ctr"/>
        <c:lblOffset val="100"/>
        <c:noMultiLvlLbl val="0"/>
      </c:catAx>
      <c:valAx>
        <c:axId val="48227084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L"/>
                  <a:t>Total de Defunciones [N]</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L"/>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4774896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lineChart>
        <c:grouping val="standard"/>
        <c:varyColors val="0"/>
        <c:ser>
          <c:idx val="1"/>
          <c:order val="1"/>
          <c:spPr>
            <a:ln w="28575" cap="rnd">
              <a:solidFill>
                <a:schemeClr val="dk1">
                  <a:tint val="55000"/>
                </a:schemeClr>
              </a:solidFill>
              <a:round/>
            </a:ln>
            <a:effectLst/>
          </c:spPr>
          <c:marker>
            <c:symbol val="none"/>
          </c:marker>
          <c:dLbls>
            <c:dLbl>
              <c:idx val="0"/>
              <c:layout>
                <c:manualLayout>
                  <c:x val="-2.7777777777777776E-2"/>
                  <c:y val="-3.240740740740740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0112-4E26-AA6C-072232884D6C}"/>
                </c:ext>
              </c:extLst>
            </c:dLbl>
            <c:dLbl>
              <c:idx val="1"/>
              <c:layout>
                <c:manualLayout>
                  <c:x val="-3.3333333333333361E-2"/>
                  <c:y val="-4.629629629629629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0112-4E26-AA6C-072232884D6C}"/>
                </c:ext>
              </c:extLst>
            </c:dLbl>
            <c:dLbl>
              <c:idx val="2"/>
              <c:layout>
                <c:manualLayout>
                  <c:x val="-2.7777777777777728E-2"/>
                  <c:y val="-3.703703703703707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0112-4E26-AA6C-072232884D6C}"/>
                </c:ext>
              </c:extLst>
            </c:dLbl>
            <c:dLbl>
              <c:idx val="3"/>
              <c:layout>
                <c:manualLayout>
                  <c:x val="-3.6111111111111108E-2"/>
                  <c:y val="-2.777777777777777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0112-4E26-AA6C-072232884D6C}"/>
                </c:ext>
              </c:extLst>
            </c:dLbl>
            <c:dLbl>
              <c:idx val="4"/>
              <c:layout>
                <c:manualLayout>
                  <c:x val="-2.777777777777788E-2"/>
                  <c:y val="-2.314814814814819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0112-4E26-AA6C-072232884D6C}"/>
                </c:ext>
              </c:extLst>
            </c:dLbl>
            <c:dLbl>
              <c:idx val="5"/>
              <c:layout>
                <c:manualLayout>
                  <c:x val="-2.7777777777777776E-2"/>
                  <c:y val="-4.166666666666670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0112-4E26-AA6C-072232884D6C}"/>
                </c:ext>
              </c:extLst>
            </c:dLbl>
            <c:dLbl>
              <c:idx val="6"/>
              <c:layout>
                <c:manualLayout>
                  <c:x val="-3.3333333333333333E-2"/>
                  <c:y val="-4.629629629629629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0112-4E26-AA6C-072232884D6C}"/>
                </c:ext>
              </c:extLst>
            </c:dLbl>
            <c:dLbl>
              <c:idx val="7"/>
              <c:layout>
                <c:manualLayout>
                  <c:x val="-4.4444444444444446E-2"/>
                  <c:y val="-3.703703703703712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0112-4E26-AA6C-072232884D6C}"/>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L"/>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Hoja2!$A$2:$A$10</c:f>
              <c:numCache>
                <c:formatCode>General</c:formatCode>
                <c:ptCount val="9"/>
                <c:pt idx="0">
                  <c:v>2000</c:v>
                </c:pt>
                <c:pt idx="1">
                  <c:v>2004</c:v>
                </c:pt>
                <c:pt idx="2">
                  <c:v>2006</c:v>
                </c:pt>
                <c:pt idx="3">
                  <c:v>2008</c:v>
                </c:pt>
                <c:pt idx="4">
                  <c:v>2010</c:v>
                </c:pt>
                <c:pt idx="5">
                  <c:v>2012</c:v>
                </c:pt>
                <c:pt idx="6">
                  <c:v>2014</c:v>
                </c:pt>
                <c:pt idx="7">
                  <c:v>2015</c:v>
                </c:pt>
              </c:numCache>
            </c:numRef>
          </c:cat>
          <c:val>
            <c:numRef>
              <c:f>Hoja2!$B$2:$B$9</c:f>
              <c:numCache>
                <c:formatCode>General</c:formatCode>
                <c:ptCount val="8"/>
                <c:pt idx="0">
                  <c:v>2</c:v>
                </c:pt>
                <c:pt idx="1">
                  <c:v>2.2999999999999998</c:v>
                </c:pt>
                <c:pt idx="2">
                  <c:v>2.7</c:v>
                </c:pt>
                <c:pt idx="3">
                  <c:v>3.1</c:v>
                </c:pt>
                <c:pt idx="4">
                  <c:v>2.8</c:v>
                </c:pt>
                <c:pt idx="5">
                  <c:v>2.16</c:v>
                </c:pt>
                <c:pt idx="6">
                  <c:v>2.2400000000000002</c:v>
                </c:pt>
                <c:pt idx="7">
                  <c:v>2.13</c:v>
                </c:pt>
              </c:numCache>
            </c:numRef>
          </c:val>
          <c:smooth val="0"/>
          <c:extLst>
            <c:ext xmlns:c16="http://schemas.microsoft.com/office/drawing/2014/chart" uri="{C3380CC4-5D6E-409C-BE32-E72D297353CC}">
              <c16:uniqueId val="{00000008-0112-4E26-AA6C-072232884D6C}"/>
            </c:ext>
          </c:extLst>
        </c:ser>
        <c:dLbls>
          <c:showLegendKey val="0"/>
          <c:showVal val="0"/>
          <c:showCatName val="0"/>
          <c:showSerName val="0"/>
          <c:showPercent val="0"/>
          <c:showBubbleSize val="0"/>
        </c:dLbls>
        <c:smooth val="0"/>
        <c:axId val="482615720"/>
        <c:axId val="482619984"/>
        <c:extLst>
          <c:ext xmlns:c15="http://schemas.microsoft.com/office/drawing/2012/chart" uri="{02D57815-91ED-43cb-92C2-25804820EDAC}">
            <c15:filteredLineSeries>
              <c15:ser>
                <c:idx val="0"/>
                <c:order val="0"/>
                <c:spPr>
                  <a:ln w="28575" cap="rnd">
                    <a:solidFill>
                      <a:schemeClr val="dk1">
                        <a:tint val="88500"/>
                      </a:schemeClr>
                    </a:solidFill>
                    <a:round/>
                  </a:ln>
                  <a:effectLst/>
                </c:spPr>
                <c:marker>
                  <c:symbol val="none"/>
                </c:marker>
                <c:cat>
                  <c:numRef>
                    <c:extLst>
                      <c:ext uri="{02D57815-91ED-43cb-92C2-25804820EDAC}">
                        <c15:formulaRef>
                          <c15:sqref>Hoja2!$A$2:$A$10</c15:sqref>
                        </c15:formulaRef>
                      </c:ext>
                    </c:extLst>
                    <c:numCache>
                      <c:formatCode>General</c:formatCode>
                      <c:ptCount val="9"/>
                      <c:pt idx="0">
                        <c:v>2000</c:v>
                      </c:pt>
                      <c:pt idx="1">
                        <c:v>2004</c:v>
                      </c:pt>
                      <c:pt idx="2">
                        <c:v>2006</c:v>
                      </c:pt>
                      <c:pt idx="3">
                        <c:v>2008</c:v>
                      </c:pt>
                      <c:pt idx="4">
                        <c:v>2010</c:v>
                      </c:pt>
                      <c:pt idx="5">
                        <c:v>2012</c:v>
                      </c:pt>
                      <c:pt idx="6">
                        <c:v>2014</c:v>
                      </c:pt>
                      <c:pt idx="7">
                        <c:v>2015</c:v>
                      </c:pt>
                    </c:numCache>
                  </c:numRef>
                </c:cat>
                <c:val>
                  <c:numRef>
                    <c:extLst>
                      <c:ext uri="{02D57815-91ED-43cb-92C2-25804820EDAC}">
                        <c15:formulaRef>
                          <c15:sqref>Hoja2!$A$2:$A$9</c15:sqref>
                        </c15:formulaRef>
                      </c:ext>
                    </c:extLst>
                    <c:numCache>
                      <c:formatCode>General</c:formatCode>
                      <c:ptCount val="8"/>
                      <c:pt idx="0">
                        <c:v>2000</c:v>
                      </c:pt>
                      <c:pt idx="1">
                        <c:v>2004</c:v>
                      </c:pt>
                      <c:pt idx="2">
                        <c:v>2006</c:v>
                      </c:pt>
                      <c:pt idx="3">
                        <c:v>2008</c:v>
                      </c:pt>
                      <c:pt idx="4">
                        <c:v>2010</c:v>
                      </c:pt>
                      <c:pt idx="5">
                        <c:v>2012</c:v>
                      </c:pt>
                      <c:pt idx="6">
                        <c:v>2014</c:v>
                      </c:pt>
                      <c:pt idx="7">
                        <c:v>2015</c:v>
                      </c:pt>
                    </c:numCache>
                  </c:numRef>
                </c:val>
                <c:smooth val="0"/>
                <c:extLst>
                  <c:ext xmlns:c16="http://schemas.microsoft.com/office/drawing/2014/chart" uri="{C3380CC4-5D6E-409C-BE32-E72D297353CC}">
                    <c16:uniqueId val="{00000009-0112-4E26-AA6C-072232884D6C}"/>
                  </c:ext>
                </c:extLst>
              </c15:ser>
            </c15:filteredLineSeries>
          </c:ext>
        </c:extLst>
      </c:lineChart>
      <c:catAx>
        <c:axId val="48261572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L"/>
                  <a:t>Año</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L"/>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482619984"/>
        <c:crosses val="autoZero"/>
        <c:auto val="1"/>
        <c:lblAlgn val="ctr"/>
        <c:lblOffset val="100"/>
        <c:noMultiLvlLbl val="0"/>
      </c:catAx>
      <c:valAx>
        <c:axId val="48261998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L"/>
                  <a:t>%</a:t>
                </a:r>
                <a:r>
                  <a:rPr lang="es-CL" baseline="0"/>
                  <a:t> de presupuesto en salud destinado a salud mental</a:t>
                </a:r>
                <a:endParaRPr lang="es-CL"/>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L"/>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48261572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27A7F6-21BD-4067-B822-F6B3228FEF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4294558243</TotalTime>
  <Pages>56</Pages>
  <Words>15844</Words>
  <Characters>87146</Characters>
  <Application>Microsoft Office Word</Application>
  <DocSecurity>0</DocSecurity>
  <Lines>726</Lines>
  <Paragraphs>205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102785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Camila Valdes</dc:creator>
  <cp:keywords/>
  <dc:description/>
  <cp:lastModifiedBy>Camila Valdes</cp:lastModifiedBy>
  <cp:revision>8</cp:revision>
  <dcterms:created xsi:type="dcterms:W3CDTF">2018-04-22T23:17:00Z</dcterms:created>
  <dcterms:modified xsi:type="dcterms:W3CDTF">2018-10-29T01:37:00Z</dcterms:modified>
</cp:coreProperties>
</file>