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D44A2" w14:textId="4AAAAB22" w:rsidR="00505EB8" w:rsidRPr="00505EB8" w:rsidRDefault="00505EB8" w:rsidP="00D01016">
      <w:pPr>
        <w:pStyle w:val="Ttulo"/>
        <w:jc w:val="center"/>
        <w:rPr>
          <w:rFonts w:ascii="Arial" w:hAnsi="Arial" w:cs="Arial"/>
          <w:sz w:val="28"/>
          <w:szCs w:val="28"/>
        </w:rPr>
      </w:pPr>
      <w:r w:rsidRPr="00505EB8">
        <w:rPr>
          <w:rFonts w:ascii="Arial" w:hAnsi="Arial" w:cs="Arial"/>
          <w:sz w:val="28"/>
          <w:szCs w:val="28"/>
        </w:rPr>
        <w:t xml:space="preserve">Paisajes en </w:t>
      </w:r>
      <w:r w:rsidR="00695701" w:rsidRPr="00505EB8">
        <w:rPr>
          <w:rFonts w:ascii="Arial" w:hAnsi="Arial" w:cs="Arial"/>
          <w:sz w:val="28"/>
          <w:szCs w:val="28"/>
        </w:rPr>
        <w:t>tensión</w:t>
      </w:r>
      <w:r w:rsidRPr="00505EB8">
        <w:rPr>
          <w:rFonts w:ascii="Arial" w:hAnsi="Arial" w:cs="Arial"/>
          <w:sz w:val="28"/>
          <w:szCs w:val="28"/>
        </w:rPr>
        <w:t>: movilidades y territorialidades</w:t>
      </w:r>
      <w:r>
        <w:rPr>
          <w:rFonts w:ascii="Arial" w:hAnsi="Arial" w:cs="Arial"/>
          <w:sz w:val="28"/>
          <w:szCs w:val="28"/>
        </w:rPr>
        <w:t xml:space="preserve"> </w:t>
      </w:r>
      <w:r w:rsidRPr="00505EB8">
        <w:rPr>
          <w:rFonts w:ascii="Arial" w:hAnsi="Arial" w:cs="Arial"/>
          <w:sz w:val="28"/>
          <w:szCs w:val="28"/>
        </w:rPr>
        <w:t xml:space="preserve">en la cordillera de los Andes, </w:t>
      </w:r>
      <w:r w:rsidR="00695701" w:rsidRPr="00505EB8">
        <w:rPr>
          <w:rFonts w:ascii="Arial" w:hAnsi="Arial" w:cs="Arial"/>
          <w:sz w:val="28"/>
          <w:szCs w:val="28"/>
        </w:rPr>
        <w:t>región</w:t>
      </w:r>
      <w:r w:rsidRPr="00505EB8">
        <w:rPr>
          <w:rFonts w:ascii="Arial" w:hAnsi="Arial" w:cs="Arial"/>
          <w:sz w:val="28"/>
          <w:szCs w:val="28"/>
        </w:rPr>
        <w:t xml:space="preserve"> de La </w:t>
      </w:r>
      <w:r w:rsidR="00695701" w:rsidRPr="00505EB8">
        <w:rPr>
          <w:rFonts w:ascii="Arial" w:hAnsi="Arial" w:cs="Arial"/>
          <w:sz w:val="28"/>
          <w:szCs w:val="28"/>
        </w:rPr>
        <w:t>Araucanía</w:t>
      </w:r>
      <w:r w:rsidRPr="00505EB8">
        <w:rPr>
          <w:rFonts w:ascii="Arial" w:hAnsi="Arial" w:cs="Arial"/>
          <w:sz w:val="28"/>
          <w:szCs w:val="28"/>
        </w:rPr>
        <w:t>, Chile</w:t>
      </w:r>
    </w:p>
    <w:p w14:paraId="485A32EB" w14:textId="77777777" w:rsidR="00505EB8" w:rsidRPr="00505EB8" w:rsidRDefault="00505EB8" w:rsidP="00505EB8"/>
    <w:p w14:paraId="2165274D" w14:textId="430E316D" w:rsidR="00D01016" w:rsidRDefault="00D01016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color w:val="3E3E3E"/>
          <w:sz w:val="22"/>
          <w:szCs w:val="22"/>
          <w:shd w:val="clear" w:color="auto" w:fill="F2F2F2"/>
        </w:rPr>
      </w:pPr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 xml:space="preserve">HUILIÑIR-CURÍO, </w:t>
      </w:r>
      <w:proofErr w:type="gramStart"/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>Viviana ;</w:t>
      </w:r>
      <w:proofErr w:type="gramEnd"/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 xml:space="preserve"> SALAZAR, Gonzalo ; y FONCK, Martín. </w:t>
      </w:r>
      <w:r w:rsidRPr="00D01016">
        <w:rPr>
          <w:rStyle w:val="nfasis"/>
          <w:rFonts w:ascii="Arial" w:hAnsi="Arial" w:cs="Arial"/>
          <w:color w:val="3E3E3E"/>
          <w:sz w:val="22"/>
          <w:szCs w:val="22"/>
          <w:shd w:val="clear" w:color="auto" w:fill="F2F2F2"/>
        </w:rPr>
        <w:t>Capítulo 6. Paisajes en tensión: movilidades y territorialidades en la cordillera de los Andes, región de la Araucanía, Chile</w:t>
      </w:r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> In: </w:t>
      </w:r>
      <w:proofErr w:type="spellStart"/>
      <w:r w:rsidRPr="00D01016">
        <w:rPr>
          <w:rStyle w:val="nfasis"/>
          <w:rFonts w:ascii="Arial" w:hAnsi="Arial" w:cs="Arial"/>
          <w:color w:val="3E3E3E"/>
          <w:sz w:val="22"/>
          <w:szCs w:val="22"/>
          <w:shd w:val="clear" w:color="auto" w:fill="F2F2F2"/>
        </w:rPr>
        <w:t>Araucania-Norpatagonia</w:t>
      </w:r>
      <w:proofErr w:type="spellEnd"/>
      <w:r w:rsidRPr="00D01016">
        <w:rPr>
          <w:rStyle w:val="nfasis"/>
          <w:rFonts w:ascii="Arial" w:hAnsi="Arial" w:cs="Arial"/>
          <w:color w:val="3E3E3E"/>
          <w:sz w:val="22"/>
          <w:szCs w:val="22"/>
          <w:shd w:val="clear" w:color="auto" w:fill="F2F2F2"/>
        </w:rPr>
        <w:t xml:space="preserve"> III: Tensiones y reflexiones en un territorio en construcción permanente</w:t>
      </w:r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 xml:space="preserve"> [en línea]. Viedma: Editorial UNRN, 2021 (generado el 23 </w:t>
      </w:r>
      <w:proofErr w:type="spellStart"/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>novembre</w:t>
      </w:r>
      <w:proofErr w:type="spellEnd"/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 xml:space="preserve"> 2022). Disponible en Internet: &lt;http://books.openedition.org/eunrn/5999&gt;. ISBN: 9789874960566. DOI: </w:t>
      </w:r>
      <w:hyperlink r:id="rId4" w:history="1">
        <w:r w:rsidRPr="00A10FAE">
          <w:rPr>
            <w:rStyle w:val="Hipervnculo"/>
            <w:rFonts w:ascii="Arial" w:hAnsi="Arial" w:cs="Arial"/>
            <w:sz w:val="22"/>
            <w:szCs w:val="22"/>
            <w:shd w:val="clear" w:color="auto" w:fill="F2F2F2"/>
          </w:rPr>
          <w:t>https://doi.org/10.4000/books.eunrn.5999</w:t>
        </w:r>
      </w:hyperlink>
      <w:r w:rsidRPr="00D01016">
        <w:rPr>
          <w:rFonts w:ascii="Arial" w:hAnsi="Arial" w:cs="Arial"/>
          <w:color w:val="3E3E3E"/>
          <w:sz w:val="22"/>
          <w:szCs w:val="22"/>
          <w:shd w:val="clear" w:color="auto" w:fill="F2F2F2"/>
        </w:rPr>
        <w:t>.</w:t>
      </w:r>
    </w:p>
    <w:p w14:paraId="2541C345" w14:textId="4E7F5B45" w:rsidR="00D01016" w:rsidRPr="00D01016" w:rsidRDefault="00D01016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bCs/>
          <w:color w:val="353535"/>
          <w:sz w:val="22"/>
          <w:szCs w:val="22"/>
        </w:rPr>
      </w:pPr>
      <w:proofErr w:type="spellStart"/>
      <w:r w:rsidRPr="00D01016">
        <w:rPr>
          <w:rFonts w:ascii="Arial" w:hAnsi="Arial" w:cs="Arial"/>
          <w:b/>
          <w:bCs/>
          <w:color w:val="3E3E3E"/>
          <w:sz w:val="22"/>
          <w:szCs w:val="22"/>
          <w:shd w:val="clear" w:color="auto" w:fill="F2F2F2"/>
        </w:rPr>
        <w:t>Abstract</w:t>
      </w:r>
      <w:proofErr w:type="spellEnd"/>
    </w:p>
    <w:p w14:paraId="424571E4" w14:textId="64C76DDC" w:rsidR="00422475" w:rsidRPr="00505EB8" w:rsidRDefault="00422475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color w:val="353535"/>
          <w:sz w:val="22"/>
          <w:szCs w:val="22"/>
        </w:rPr>
      </w:pPr>
      <w:r w:rsidRPr="00505EB8">
        <w:rPr>
          <w:rFonts w:ascii="Arial" w:hAnsi="Arial" w:cs="Arial"/>
          <w:color w:val="353535"/>
          <w:sz w:val="22"/>
          <w:szCs w:val="22"/>
        </w:rPr>
        <w:t xml:space="preserve">Desde la consolidación del Estado-nación moderno chileno y la creación de los límites internacionales a lo largo de los Andes, se han puesto en marcha diversos dispositivos de control y resguardo de los márgenes estatales en el sur de Chile que inciden en las lógicas de ocupación del territorio de comunidades mapuche que se han desplazado a lo largo y a través de la cordillera. En efecto, </w:t>
      </w:r>
      <w:proofErr w:type="gramStart"/>
      <w:r w:rsidRPr="00505EB8">
        <w:rPr>
          <w:rFonts w:ascii="Arial" w:hAnsi="Arial" w:cs="Arial"/>
          <w:color w:val="353535"/>
          <w:sz w:val="22"/>
          <w:szCs w:val="22"/>
        </w:rPr>
        <w:t>los mapuche</w:t>
      </w:r>
      <w:proofErr w:type="gramEnd"/>
      <w:r w:rsidRPr="00505EB8">
        <w:rPr>
          <w:rFonts w:ascii="Arial" w:hAnsi="Arial" w:cs="Arial"/>
          <w:color w:val="353535"/>
          <w:sz w:val="22"/>
          <w:szCs w:val="22"/>
        </w:rPr>
        <w:t xml:space="preserve"> circulaban con mucha frecuencia entre ambos lados de los Andes desde el siglo </w:t>
      </w:r>
      <w:proofErr w:type="spellStart"/>
      <w:r w:rsidRPr="00505EB8">
        <w:rPr>
          <w:rFonts w:ascii="Arial" w:hAnsi="Arial" w:cs="Arial"/>
          <w:smallCaps/>
          <w:color w:val="353535"/>
          <w:sz w:val="22"/>
          <w:szCs w:val="22"/>
        </w:rPr>
        <w:t>xvii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 hasta principios del </w:t>
      </w:r>
      <w:proofErr w:type="spellStart"/>
      <w:r w:rsidRPr="00505EB8">
        <w:rPr>
          <w:rFonts w:ascii="Arial" w:hAnsi="Arial" w:cs="Arial"/>
          <w:smallCaps/>
          <w:color w:val="353535"/>
          <w:sz w:val="22"/>
          <w:szCs w:val="22"/>
        </w:rPr>
        <w:t>xx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. Esta movilidad cordillerana estaba sujeta a razones comerciales, lazos de parentesco, alianzas políticas y militares (Bello, 2011) y, en algunos casos, se organizaban casi cronológicamente en función de los deshielos anuales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Capellà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, 2009). Si bien la movilidad espacial mapuche fue decayendo, prácticas y narrativas asociadas a los desplazamientos continúan vigentes, trazando un entramado de rutas, prácticas y significados que ponen en relación a seres humanos y elementos topológicos del paisaje que dan cuenta de un proceso vivo constituyente del mundo habitado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Ingold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, 2000; Di 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Giminiani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 y 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Fonck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, 2015). Es por esta razón que cobra relevancia explorar qué sucede cuando la movilidad mapuche se enfrenta a la instalación de líneas de ocupación estatal, trazadas como bordes rígidos que irrumpen en las circulaciones a lo largo del espacio cordillerano.</w:t>
      </w:r>
    </w:p>
    <w:p w14:paraId="7D2F18C8" w14:textId="77777777" w:rsidR="00422475" w:rsidRPr="00505EB8" w:rsidRDefault="00422475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color w:val="353535"/>
          <w:sz w:val="22"/>
          <w:szCs w:val="22"/>
        </w:rPr>
      </w:pPr>
      <w:r w:rsidRPr="00505EB8">
        <w:rPr>
          <w:rStyle w:val="paranumber"/>
          <w:rFonts w:ascii="Arial" w:hAnsi="Arial" w:cs="Arial"/>
          <w:color w:val="BBBBBB"/>
          <w:sz w:val="22"/>
          <w:szCs w:val="22"/>
        </w:rPr>
        <w:t>2</w:t>
      </w:r>
      <w:r w:rsidRPr="00505EB8">
        <w:rPr>
          <w:rFonts w:ascii="Arial" w:hAnsi="Arial" w:cs="Arial"/>
          <w:color w:val="353535"/>
          <w:sz w:val="22"/>
          <w:szCs w:val="22"/>
        </w:rPr>
        <w:t xml:space="preserve">La movilidad, asumida en este estudio como un acto corporal espacial, ofrece una interesante dimensión analítica para distinguir distintos momentos y escalas de los desplazamientos de las personas, incrustados en contextos sociopolíticos y económicos determinados. Así, las </w:t>
      </w:r>
      <w:proofErr w:type="gramStart"/>
      <w:r w:rsidRPr="00505EB8">
        <w:rPr>
          <w:rFonts w:ascii="Arial" w:hAnsi="Arial" w:cs="Arial"/>
          <w:color w:val="353535"/>
          <w:sz w:val="22"/>
          <w:szCs w:val="22"/>
        </w:rPr>
        <w:t>movilidades mapuche</w:t>
      </w:r>
      <w:proofErr w:type="gramEnd"/>
      <w:r w:rsidRPr="00505EB8">
        <w:rPr>
          <w:rFonts w:ascii="Arial" w:hAnsi="Arial" w:cs="Arial"/>
          <w:color w:val="353535"/>
          <w:sz w:val="22"/>
          <w:szCs w:val="22"/>
        </w:rPr>
        <w:t xml:space="preserve"> crean trayectorias de vida e inscriben historias y huellas en el espacio, influenciadas por factores que impulsan o limitan el movimiento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Huiliñir-Curío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, 2015 y 2018). Mientras que las prácticas de movilidad, en tanto movimiento de personas, ideas y mercancías, son productoras de paisajes que encarnan diversas formas de habitar el espacio. Sin embargo, postulamos que estas prácticas de movilidad son, a su vez, un fenómeno altamente político que incluye aspectos relacionados con los derechos de la libertad de circulación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Sheller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, 2008; Jensen, 2011), conflictos de límites e 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invisibilización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 en torno a las representaciones del paisaje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Nogué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 y de San Eugenio Vela, 2011; Salazar, 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Fonck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 e Irarrázaval, 2017). Por lo tanto, la movilidad también puede ser estudiada como categoría política que opone el flujo y la libertad con la fijeza de un territorio estatal organizado espacialmente con base en restricciones, normas y límites (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Bærenholdt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>, 2013).</w:t>
      </w:r>
    </w:p>
    <w:p w14:paraId="12D6B283" w14:textId="476039B6" w:rsidR="00422475" w:rsidRPr="00505EB8" w:rsidRDefault="00422475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color w:val="353535"/>
          <w:sz w:val="22"/>
          <w:szCs w:val="22"/>
        </w:rPr>
      </w:pPr>
      <w:r w:rsidRPr="00505EB8">
        <w:rPr>
          <w:rStyle w:val="paranumber"/>
          <w:rFonts w:ascii="Arial" w:hAnsi="Arial" w:cs="Arial"/>
          <w:color w:val="BBBBBB"/>
          <w:sz w:val="22"/>
          <w:szCs w:val="22"/>
        </w:rPr>
        <w:t>3</w:t>
      </w:r>
      <w:r w:rsidRPr="00505EB8">
        <w:rPr>
          <w:rFonts w:ascii="Arial" w:hAnsi="Arial" w:cs="Arial"/>
          <w:color w:val="353535"/>
          <w:sz w:val="22"/>
          <w:szCs w:val="22"/>
        </w:rPr>
        <w:t xml:space="preserve">Apoyados en prácticas y experiencias socio-espaciales de comunidades mapuche de </w:t>
      </w:r>
      <w:proofErr w:type="spellStart"/>
      <w:r w:rsidRPr="00505EB8">
        <w:rPr>
          <w:rFonts w:ascii="Arial" w:hAnsi="Arial" w:cs="Arial"/>
          <w:color w:val="353535"/>
          <w:sz w:val="22"/>
          <w:szCs w:val="22"/>
        </w:rPr>
        <w:t>Curarrehue</w:t>
      </w:r>
      <w:proofErr w:type="spellEnd"/>
      <w:r w:rsidRPr="00505EB8">
        <w:rPr>
          <w:rFonts w:ascii="Arial" w:hAnsi="Arial" w:cs="Arial"/>
          <w:color w:val="353535"/>
          <w:sz w:val="22"/>
          <w:szCs w:val="22"/>
        </w:rPr>
        <w:t xml:space="preserve">, en este estudio planteamos un análisis crítico de la movilidad mapuche contemporánea y sus implicancias en la producción de paisajes. Se examina el entramado configurado por diversas movilidades desde la práctica espacial de los actores y las narrativas asociadas a los desplazamientos cordilleranos sin desconocer los factores que afectan dichas experiencias. Específicamente se atienden dinámicas físicas y políticas de movilidad que configuran otras geografías, las cuales complejizan y resisten a formas </w:t>
      </w:r>
      <w:r w:rsidRPr="00505EB8">
        <w:rPr>
          <w:rFonts w:ascii="Arial" w:hAnsi="Arial" w:cs="Arial"/>
          <w:color w:val="353535"/>
          <w:sz w:val="22"/>
          <w:szCs w:val="22"/>
        </w:rPr>
        <w:lastRenderedPageBreak/>
        <w:t>hegemónicas de apropiación y representación del paisaje cordillerano. A partir de estos elementos, se exploran las diversas formas de resistencia de los paisajes de la movilidad mapuche desde el habitar y las tensiones que se entrecruzan en las prácticas móviles cotidianas.</w:t>
      </w:r>
    </w:p>
    <w:p w14:paraId="35D1CDE0" w14:textId="77777777" w:rsidR="00505EB8" w:rsidRPr="00505EB8" w:rsidRDefault="00505EB8" w:rsidP="00422475">
      <w:pPr>
        <w:pStyle w:val="texte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color w:val="353535"/>
          <w:sz w:val="22"/>
          <w:szCs w:val="22"/>
        </w:rPr>
      </w:pPr>
    </w:p>
    <w:p w14:paraId="4DE2B72C" w14:textId="77777777" w:rsidR="00272366" w:rsidRPr="00505EB8" w:rsidRDefault="00272366">
      <w:pPr>
        <w:rPr>
          <w:rFonts w:ascii="Arial" w:hAnsi="Arial" w:cs="Arial"/>
        </w:rPr>
      </w:pPr>
    </w:p>
    <w:sectPr w:rsidR="00272366" w:rsidRPr="00505E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699"/>
    <w:rsid w:val="00272366"/>
    <w:rsid w:val="00422475"/>
    <w:rsid w:val="00505EB8"/>
    <w:rsid w:val="00662D70"/>
    <w:rsid w:val="00695701"/>
    <w:rsid w:val="00996699"/>
    <w:rsid w:val="00D01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5D625"/>
  <w15:chartTrackingRefBased/>
  <w15:docId w15:val="{467ACD07-6814-4E89-A9E3-CBA362CD5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e">
    <w:name w:val="texte"/>
    <w:basedOn w:val="Normal"/>
    <w:rsid w:val="00422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paranumber">
    <w:name w:val="paranumber"/>
    <w:basedOn w:val="Fuentedeprrafopredeter"/>
    <w:rsid w:val="00422475"/>
  </w:style>
  <w:style w:type="character" w:styleId="nfasis">
    <w:name w:val="Emphasis"/>
    <w:basedOn w:val="Fuentedeprrafopredeter"/>
    <w:uiPriority w:val="20"/>
    <w:qFormat/>
    <w:rsid w:val="00505EB8"/>
    <w:rPr>
      <w:i/>
      <w:iCs/>
    </w:rPr>
  </w:style>
  <w:style w:type="paragraph" w:styleId="Ttulo">
    <w:name w:val="Title"/>
    <w:basedOn w:val="Normal"/>
    <w:next w:val="Normal"/>
    <w:link w:val="TtuloCar"/>
    <w:uiPriority w:val="10"/>
    <w:qFormat/>
    <w:rsid w:val="00505EB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05E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ipervnculo">
    <w:name w:val="Hyperlink"/>
    <w:basedOn w:val="Fuentedeprrafopredeter"/>
    <w:uiPriority w:val="99"/>
    <w:unhideWhenUsed/>
    <w:rsid w:val="00D0101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010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04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4000/books.eunrn.5999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642</Words>
  <Characters>3536</Characters>
  <Application>Microsoft Office Word</Application>
  <DocSecurity>0</DocSecurity>
  <Lines>29</Lines>
  <Paragraphs>8</Paragraphs>
  <ScaleCrop>false</ScaleCrop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6</cp:revision>
  <dcterms:created xsi:type="dcterms:W3CDTF">2022-11-22T13:17:00Z</dcterms:created>
  <dcterms:modified xsi:type="dcterms:W3CDTF">2022-11-23T15:07:00Z</dcterms:modified>
</cp:coreProperties>
</file>